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7E" w:rsidRPr="00743520" w:rsidRDefault="0012447E">
      <w:pPr>
        <w:rPr>
          <w:b/>
          <w:sz w:val="22"/>
          <w:szCs w:val="22"/>
          <w:u w:val="single"/>
        </w:rPr>
      </w:pPr>
      <w:r w:rsidRPr="00743520">
        <w:rPr>
          <w:b/>
          <w:sz w:val="22"/>
          <w:szCs w:val="22"/>
          <w:u w:val="single"/>
        </w:rPr>
        <w:t>PART A – Explanatory Notes Pursuant to FRS 134</w:t>
      </w:r>
    </w:p>
    <w:p w:rsidR="0012447E" w:rsidRPr="00743520" w:rsidRDefault="0012447E" w:rsidP="001A10E0">
      <w:pPr>
        <w:spacing w:line="360" w:lineRule="auto"/>
        <w:rPr>
          <w:sz w:val="22"/>
          <w:szCs w:val="22"/>
          <w:u w:val="single"/>
        </w:rPr>
      </w:pPr>
    </w:p>
    <w:p w:rsidR="0012447E" w:rsidRPr="00743520" w:rsidRDefault="0012447E">
      <w:pPr>
        <w:ind w:left="720" w:hanging="720"/>
        <w:rPr>
          <w:b/>
          <w:sz w:val="22"/>
          <w:szCs w:val="22"/>
        </w:rPr>
      </w:pPr>
      <w:r w:rsidRPr="00743520">
        <w:rPr>
          <w:b/>
          <w:sz w:val="22"/>
          <w:szCs w:val="22"/>
        </w:rPr>
        <w:t>A1.</w:t>
      </w:r>
      <w:r w:rsidRPr="00743520">
        <w:rPr>
          <w:b/>
          <w:sz w:val="22"/>
          <w:szCs w:val="22"/>
        </w:rPr>
        <w:tab/>
        <w:t>Basis of Preparation</w:t>
      </w:r>
    </w:p>
    <w:p w:rsidR="0012447E" w:rsidRPr="00743520" w:rsidRDefault="0012447E">
      <w:pPr>
        <w:rPr>
          <w:b/>
          <w:sz w:val="22"/>
          <w:szCs w:val="22"/>
        </w:rPr>
      </w:pPr>
    </w:p>
    <w:p w:rsidR="0012447E" w:rsidRPr="00743520" w:rsidRDefault="0012447E" w:rsidP="00BE5F21">
      <w:pPr>
        <w:ind w:left="720"/>
        <w:jc w:val="both"/>
        <w:rPr>
          <w:sz w:val="22"/>
          <w:szCs w:val="22"/>
        </w:rPr>
      </w:pPr>
      <w:r w:rsidRPr="00743520">
        <w:rPr>
          <w:sz w:val="22"/>
          <w:szCs w:val="22"/>
        </w:rPr>
        <w:t xml:space="preserve">The interim financial statements are unaudited and have been prepared in accordance with FRS 134: Interim Financial Reporting and paragraph 9.22 of the Listing Requirements of Bursa Malaysia Securities </w:t>
      </w:r>
      <w:proofErr w:type="spellStart"/>
      <w:r w:rsidRPr="00743520">
        <w:rPr>
          <w:sz w:val="22"/>
          <w:szCs w:val="22"/>
        </w:rPr>
        <w:t>Berhad</w:t>
      </w:r>
      <w:proofErr w:type="spellEnd"/>
      <w:r w:rsidRPr="00743520">
        <w:rPr>
          <w:sz w:val="22"/>
          <w:szCs w:val="22"/>
        </w:rPr>
        <w:t>.</w:t>
      </w:r>
    </w:p>
    <w:p w:rsidR="0012447E" w:rsidRPr="00743520" w:rsidRDefault="0012447E">
      <w:pPr>
        <w:ind w:left="720"/>
        <w:jc w:val="both"/>
        <w:rPr>
          <w:sz w:val="22"/>
          <w:szCs w:val="22"/>
        </w:rPr>
      </w:pPr>
    </w:p>
    <w:p w:rsidR="0012447E" w:rsidRPr="00743520" w:rsidRDefault="0012447E" w:rsidP="00BE5F21">
      <w:pPr>
        <w:ind w:left="720"/>
        <w:jc w:val="both"/>
        <w:rPr>
          <w:sz w:val="22"/>
          <w:szCs w:val="22"/>
        </w:rPr>
      </w:pPr>
      <w:r w:rsidRPr="00743520">
        <w:rPr>
          <w:sz w:val="22"/>
          <w:szCs w:val="22"/>
        </w:rPr>
        <w:t xml:space="preserve">The interim financial statements should be read in conjunction with the audited financial statements for the year ended </w:t>
      </w:r>
      <w:r>
        <w:rPr>
          <w:sz w:val="22"/>
          <w:szCs w:val="22"/>
        </w:rPr>
        <w:t xml:space="preserve">31 January 2011. </w:t>
      </w:r>
    </w:p>
    <w:p w:rsidR="0012447E" w:rsidRPr="00743520" w:rsidRDefault="0012447E" w:rsidP="00BE5F21">
      <w:pPr>
        <w:ind w:left="720"/>
        <w:jc w:val="both"/>
        <w:rPr>
          <w:sz w:val="22"/>
          <w:szCs w:val="22"/>
        </w:rPr>
      </w:pPr>
    </w:p>
    <w:p w:rsidR="0012447E" w:rsidRPr="00743520" w:rsidRDefault="0012447E" w:rsidP="00BE5F21">
      <w:pPr>
        <w:ind w:left="720"/>
        <w:jc w:val="both"/>
        <w:rPr>
          <w:sz w:val="22"/>
          <w:szCs w:val="22"/>
        </w:rPr>
      </w:pPr>
      <w:r w:rsidRPr="00743520">
        <w:rPr>
          <w:sz w:val="22"/>
          <w:szCs w:val="22"/>
        </w:rPr>
        <w:t xml:space="preserve">These explanatory notes attached to the interim financial statements provide an explanation of events and transactions that are significant to an understanding of the changes in the financial position and performance of the Group since the year ended </w:t>
      </w:r>
      <w:r>
        <w:rPr>
          <w:sz w:val="22"/>
          <w:szCs w:val="22"/>
        </w:rPr>
        <w:t>31 January</w:t>
      </w:r>
      <w:r w:rsidRPr="00743520">
        <w:rPr>
          <w:sz w:val="22"/>
          <w:szCs w:val="22"/>
        </w:rPr>
        <w:t xml:space="preserve"> 20</w:t>
      </w:r>
      <w:r>
        <w:rPr>
          <w:sz w:val="22"/>
          <w:szCs w:val="22"/>
        </w:rPr>
        <w:t>11</w:t>
      </w:r>
      <w:r w:rsidRPr="00743520">
        <w:rPr>
          <w:sz w:val="22"/>
          <w:szCs w:val="22"/>
        </w:rPr>
        <w:t>.</w:t>
      </w:r>
    </w:p>
    <w:p w:rsidR="0012447E" w:rsidRDefault="0012447E" w:rsidP="008339D3">
      <w:pPr>
        <w:ind w:left="720" w:hanging="720"/>
        <w:rPr>
          <w:b/>
          <w:sz w:val="22"/>
          <w:szCs w:val="22"/>
        </w:rPr>
      </w:pPr>
    </w:p>
    <w:p w:rsidR="0012447E" w:rsidRPr="00AC25B3" w:rsidRDefault="0012447E" w:rsidP="008339D3">
      <w:pPr>
        <w:ind w:left="720" w:hanging="720"/>
        <w:rPr>
          <w:b/>
          <w:sz w:val="22"/>
          <w:szCs w:val="22"/>
        </w:rPr>
      </w:pPr>
      <w:r w:rsidRPr="00743520">
        <w:rPr>
          <w:b/>
          <w:sz w:val="22"/>
          <w:szCs w:val="22"/>
        </w:rPr>
        <w:t>A2.</w:t>
      </w:r>
      <w:r w:rsidRPr="00743520">
        <w:rPr>
          <w:b/>
          <w:sz w:val="22"/>
          <w:szCs w:val="22"/>
        </w:rPr>
        <w:tab/>
      </w:r>
      <w:r>
        <w:rPr>
          <w:b/>
          <w:sz w:val="22"/>
          <w:szCs w:val="22"/>
        </w:rPr>
        <w:t>Accounting policies and methods of computation</w:t>
      </w:r>
    </w:p>
    <w:p w:rsidR="0012447E" w:rsidRPr="00AC25B3" w:rsidRDefault="0012447E" w:rsidP="00BE5F21">
      <w:pPr>
        <w:jc w:val="both"/>
        <w:rPr>
          <w:b/>
          <w:sz w:val="22"/>
          <w:szCs w:val="22"/>
        </w:rPr>
      </w:pPr>
    </w:p>
    <w:p w:rsidR="0012447E" w:rsidRDefault="0012447E" w:rsidP="00AC25B3">
      <w:pPr>
        <w:ind w:left="720"/>
        <w:jc w:val="both"/>
        <w:rPr>
          <w:sz w:val="22"/>
        </w:rPr>
      </w:pPr>
      <w:r>
        <w:rPr>
          <w:sz w:val="22"/>
        </w:rPr>
        <w:t xml:space="preserve">The quarterly consolidated financial statements have been prepared by applying accounting policies and methods of computation consistent with those used in the preparation of the most recent audited financial statements of the Group, except for the adoption of new FRSs, amendments and IC Interpretations (“IC </w:t>
      </w:r>
      <w:proofErr w:type="spellStart"/>
      <w:r>
        <w:rPr>
          <w:sz w:val="22"/>
        </w:rPr>
        <w:t>Int</w:t>
      </w:r>
      <w:proofErr w:type="spellEnd"/>
      <w:r>
        <w:rPr>
          <w:sz w:val="22"/>
        </w:rPr>
        <w:t>”) that are mandatory for the Group for the financial year beginning 1 February 2011.</w:t>
      </w:r>
    </w:p>
    <w:p w:rsidR="0012447E" w:rsidRPr="00B607ED" w:rsidRDefault="0012447E" w:rsidP="003D493C">
      <w:pPr>
        <w:tabs>
          <w:tab w:val="left" w:pos="360"/>
        </w:tabs>
        <w:ind w:left="720"/>
        <w:rPr>
          <w:sz w:val="22"/>
          <w:szCs w:val="22"/>
        </w:rPr>
      </w:pPr>
    </w:p>
    <w:tbl>
      <w:tblPr>
        <w:tblW w:w="8280" w:type="dxa"/>
        <w:tblInd w:w="828" w:type="dxa"/>
        <w:tblLook w:val="01E0"/>
      </w:tblPr>
      <w:tblGrid>
        <w:gridCol w:w="2965"/>
        <w:gridCol w:w="5315"/>
      </w:tblGrid>
      <w:tr w:rsidR="0012447E" w:rsidRPr="007C5606" w:rsidTr="007C5606">
        <w:tc>
          <w:tcPr>
            <w:tcW w:w="2965" w:type="dxa"/>
            <w:vAlign w:val="bottom"/>
          </w:tcPr>
          <w:p w:rsidR="0012447E" w:rsidRPr="007C5606" w:rsidRDefault="0012447E" w:rsidP="007C5606">
            <w:pPr>
              <w:ind w:firstLine="72"/>
              <w:jc w:val="both"/>
              <w:rPr>
                <w:b/>
                <w:sz w:val="22"/>
                <w:u w:val="single"/>
              </w:rPr>
            </w:pPr>
            <w:r w:rsidRPr="007C5606">
              <w:rPr>
                <w:b/>
                <w:sz w:val="22"/>
                <w:u w:val="single"/>
              </w:rPr>
              <w:t>Revised FRSs</w:t>
            </w:r>
          </w:p>
        </w:tc>
        <w:tc>
          <w:tcPr>
            <w:tcW w:w="5315" w:type="dxa"/>
            <w:vAlign w:val="center"/>
          </w:tcPr>
          <w:p w:rsidR="0012447E" w:rsidRPr="007C5606" w:rsidRDefault="0012447E" w:rsidP="00AE2D97">
            <w:pPr>
              <w:rPr>
                <w:b/>
                <w:sz w:val="22"/>
                <w:szCs w:val="22"/>
              </w:rPr>
            </w:pP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1</w:t>
            </w:r>
          </w:p>
        </w:tc>
        <w:tc>
          <w:tcPr>
            <w:tcW w:w="5315" w:type="dxa"/>
          </w:tcPr>
          <w:p w:rsidR="0012447E" w:rsidRPr="007C5606" w:rsidRDefault="0012447E" w:rsidP="007C5606">
            <w:pPr>
              <w:jc w:val="both"/>
              <w:rPr>
                <w:sz w:val="22"/>
              </w:rPr>
            </w:pPr>
            <w:r w:rsidRPr="007C5606">
              <w:rPr>
                <w:sz w:val="22"/>
              </w:rPr>
              <w:t xml:space="preserve">First-time Adoption of Financial Reporting Standards </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3</w:t>
            </w:r>
          </w:p>
        </w:tc>
        <w:tc>
          <w:tcPr>
            <w:tcW w:w="5315" w:type="dxa"/>
          </w:tcPr>
          <w:p w:rsidR="0012447E" w:rsidRPr="007C5606" w:rsidRDefault="0012447E" w:rsidP="007C5606">
            <w:pPr>
              <w:jc w:val="both"/>
              <w:rPr>
                <w:sz w:val="22"/>
              </w:rPr>
            </w:pPr>
            <w:r w:rsidRPr="007C5606">
              <w:rPr>
                <w:sz w:val="22"/>
              </w:rPr>
              <w:t>Business Combinations</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127</w:t>
            </w:r>
          </w:p>
        </w:tc>
        <w:tc>
          <w:tcPr>
            <w:tcW w:w="5315" w:type="dxa"/>
          </w:tcPr>
          <w:p w:rsidR="0012447E" w:rsidRPr="007C5606" w:rsidRDefault="0012447E" w:rsidP="007C5606">
            <w:pPr>
              <w:jc w:val="both"/>
              <w:rPr>
                <w:sz w:val="22"/>
              </w:rPr>
            </w:pPr>
            <w:r w:rsidRPr="007C5606">
              <w:rPr>
                <w:sz w:val="22"/>
              </w:rPr>
              <w:t>Consolidated and Separate Financial Statements</w:t>
            </w:r>
          </w:p>
        </w:tc>
      </w:tr>
      <w:tr w:rsidR="0012447E" w:rsidRPr="007C5606" w:rsidTr="007C5606">
        <w:tc>
          <w:tcPr>
            <w:tcW w:w="2965" w:type="dxa"/>
          </w:tcPr>
          <w:p w:rsidR="0012447E" w:rsidRPr="007C5606" w:rsidRDefault="0012447E" w:rsidP="007C5606">
            <w:pPr>
              <w:ind w:left="72"/>
              <w:jc w:val="both"/>
              <w:rPr>
                <w:b/>
                <w:sz w:val="22"/>
                <w:u w:val="single"/>
              </w:rPr>
            </w:pPr>
            <w:r w:rsidRPr="007C5606">
              <w:rPr>
                <w:b/>
                <w:sz w:val="22"/>
                <w:u w:val="single"/>
              </w:rPr>
              <w:t>Amendments/Improvements to FRS</w:t>
            </w:r>
          </w:p>
        </w:tc>
        <w:tc>
          <w:tcPr>
            <w:tcW w:w="5315" w:type="dxa"/>
            <w:vAlign w:val="center"/>
          </w:tcPr>
          <w:p w:rsidR="0012447E" w:rsidRPr="007C5606" w:rsidRDefault="0012447E" w:rsidP="00AE2D97">
            <w:pPr>
              <w:rPr>
                <w:sz w:val="22"/>
                <w:szCs w:val="22"/>
              </w:rPr>
            </w:pP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1</w:t>
            </w:r>
          </w:p>
        </w:tc>
        <w:tc>
          <w:tcPr>
            <w:tcW w:w="5315" w:type="dxa"/>
          </w:tcPr>
          <w:p w:rsidR="0012447E" w:rsidRPr="007C5606" w:rsidRDefault="0012447E" w:rsidP="007C5606">
            <w:pPr>
              <w:jc w:val="both"/>
              <w:rPr>
                <w:sz w:val="22"/>
              </w:rPr>
            </w:pPr>
            <w:r w:rsidRPr="007C5606">
              <w:rPr>
                <w:sz w:val="22"/>
              </w:rPr>
              <w:t xml:space="preserve">First-time Adoption of Financial Reporting Standards </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2</w:t>
            </w:r>
          </w:p>
        </w:tc>
        <w:tc>
          <w:tcPr>
            <w:tcW w:w="5315" w:type="dxa"/>
            <w:vAlign w:val="center"/>
          </w:tcPr>
          <w:p w:rsidR="0012447E" w:rsidRPr="007C5606" w:rsidRDefault="0012447E" w:rsidP="00AE2D97">
            <w:pPr>
              <w:rPr>
                <w:sz w:val="22"/>
                <w:szCs w:val="22"/>
              </w:rPr>
            </w:pPr>
            <w:r w:rsidRPr="007C5606">
              <w:rPr>
                <w:sz w:val="22"/>
                <w:szCs w:val="22"/>
              </w:rPr>
              <w:t>Share-based Payment</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3</w:t>
            </w:r>
          </w:p>
        </w:tc>
        <w:tc>
          <w:tcPr>
            <w:tcW w:w="5315" w:type="dxa"/>
            <w:vAlign w:val="center"/>
          </w:tcPr>
          <w:p w:rsidR="0012447E" w:rsidRPr="007C5606" w:rsidRDefault="0012447E" w:rsidP="00AE2D97">
            <w:pPr>
              <w:rPr>
                <w:sz w:val="22"/>
                <w:szCs w:val="22"/>
              </w:rPr>
            </w:pPr>
            <w:r w:rsidRPr="007C5606">
              <w:rPr>
                <w:sz w:val="22"/>
                <w:szCs w:val="22"/>
              </w:rPr>
              <w:t>Business Combinations</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5</w:t>
            </w:r>
          </w:p>
        </w:tc>
        <w:tc>
          <w:tcPr>
            <w:tcW w:w="5315" w:type="dxa"/>
            <w:vAlign w:val="center"/>
          </w:tcPr>
          <w:p w:rsidR="0012447E" w:rsidRPr="007C5606" w:rsidRDefault="0012447E" w:rsidP="00AE2D97">
            <w:pPr>
              <w:rPr>
                <w:sz w:val="22"/>
                <w:szCs w:val="22"/>
              </w:rPr>
            </w:pPr>
            <w:r w:rsidRPr="007C5606">
              <w:rPr>
                <w:sz w:val="22"/>
                <w:szCs w:val="22"/>
              </w:rPr>
              <w:t xml:space="preserve">Non-current Assets Held for </w:t>
            </w:r>
            <w:smartTag w:uri="urn:schemas-microsoft-com:office:smarttags" w:element="City">
              <w:smartTag w:uri="urn:schemas-microsoft-com:office:smarttags" w:element="place">
                <w:r w:rsidRPr="007C5606">
                  <w:rPr>
                    <w:sz w:val="22"/>
                    <w:szCs w:val="22"/>
                  </w:rPr>
                  <w:t>Sale</w:t>
                </w:r>
              </w:smartTag>
            </w:smartTag>
            <w:r w:rsidRPr="007C5606">
              <w:rPr>
                <w:sz w:val="22"/>
                <w:szCs w:val="22"/>
              </w:rPr>
              <w:t xml:space="preserve"> and Discontinued Operations</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7</w:t>
            </w:r>
          </w:p>
        </w:tc>
        <w:tc>
          <w:tcPr>
            <w:tcW w:w="5315" w:type="dxa"/>
            <w:vAlign w:val="center"/>
          </w:tcPr>
          <w:p w:rsidR="0012447E" w:rsidRPr="007C5606" w:rsidRDefault="0012447E" w:rsidP="00AE2D97">
            <w:pPr>
              <w:rPr>
                <w:sz w:val="22"/>
                <w:szCs w:val="22"/>
              </w:rPr>
            </w:pPr>
            <w:r w:rsidRPr="007C5606">
              <w:rPr>
                <w:sz w:val="22"/>
                <w:szCs w:val="22"/>
              </w:rPr>
              <w:t>Financial Instruments: Disclosures</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101</w:t>
            </w:r>
          </w:p>
        </w:tc>
        <w:tc>
          <w:tcPr>
            <w:tcW w:w="5315" w:type="dxa"/>
            <w:vAlign w:val="center"/>
          </w:tcPr>
          <w:p w:rsidR="0012447E" w:rsidRPr="007C5606" w:rsidRDefault="0012447E" w:rsidP="00AE2D97">
            <w:pPr>
              <w:rPr>
                <w:sz w:val="22"/>
                <w:szCs w:val="22"/>
              </w:rPr>
            </w:pPr>
            <w:r w:rsidRPr="007C5606">
              <w:rPr>
                <w:sz w:val="22"/>
                <w:szCs w:val="22"/>
              </w:rPr>
              <w:t>Presentation of Financial Statements</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121</w:t>
            </w:r>
          </w:p>
        </w:tc>
        <w:tc>
          <w:tcPr>
            <w:tcW w:w="5315" w:type="dxa"/>
            <w:vAlign w:val="center"/>
          </w:tcPr>
          <w:p w:rsidR="0012447E" w:rsidRPr="007C5606" w:rsidRDefault="0012447E" w:rsidP="00AE2D97">
            <w:pPr>
              <w:rPr>
                <w:sz w:val="22"/>
                <w:szCs w:val="22"/>
              </w:rPr>
            </w:pPr>
            <w:r w:rsidRPr="007C5606">
              <w:rPr>
                <w:sz w:val="22"/>
                <w:szCs w:val="22"/>
              </w:rPr>
              <w:t>The Effects of Changes in Foreign Exchange Rates</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128</w:t>
            </w:r>
          </w:p>
        </w:tc>
        <w:tc>
          <w:tcPr>
            <w:tcW w:w="5315" w:type="dxa"/>
            <w:vAlign w:val="center"/>
          </w:tcPr>
          <w:p w:rsidR="0012447E" w:rsidRPr="007C5606" w:rsidRDefault="0012447E" w:rsidP="00AE2D97">
            <w:pPr>
              <w:rPr>
                <w:sz w:val="22"/>
                <w:szCs w:val="22"/>
              </w:rPr>
            </w:pPr>
            <w:r w:rsidRPr="007C5606">
              <w:rPr>
                <w:sz w:val="22"/>
                <w:szCs w:val="22"/>
              </w:rPr>
              <w:t>Investments in Associates</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131</w:t>
            </w:r>
          </w:p>
        </w:tc>
        <w:tc>
          <w:tcPr>
            <w:tcW w:w="5315" w:type="dxa"/>
            <w:vAlign w:val="center"/>
          </w:tcPr>
          <w:p w:rsidR="0012447E" w:rsidRPr="007C5606" w:rsidRDefault="0012447E" w:rsidP="00AE2D97">
            <w:pPr>
              <w:rPr>
                <w:sz w:val="22"/>
                <w:szCs w:val="22"/>
              </w:rPr>
            </w:pPr>
            <w:r w:rsidRPr="007C5606">
              <w:rPr>
                <w:sz w:val="22"/>
                <w:szCs w:val="22"/>
              </w:rPr>
              <w:t>Investments in Joint Ventures</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132</w:t>
            </w:r>
          </w:p>
        </w:tc>
        <w:tc>
          <w:tcPr>
            <w:tcW w:w="5315" w:type="dxa"/>
            <w:vAlign w:val="center"/>
          </w:tcPr>
          <w:p w:rsidR="0012447E" w:rsidRPr="007C5606" w:rsidRDefault="0012447E" w:rsidP="00AE2D97">
            <w:pPr>
              <w:rPr>
                <w:sz w:val="22"/>
                <w:szCs w:val="22"/>
              </w:rPr>
            </w:pPr>
            <w:r w:rsidRPr="007C5606">
              <w:rPr>
                <w:sz w:val="22"/>
                <w:szCs w:val="22"/>
              </w:rPr>
              <w:t>Financial Instruments: Presentation</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134</w:t>
            </w:r>
          </w:p>
        </w:tc>
        <w:tc>
          <w:tcPr>
            <w:tcW w:w="5315" w:type="dxa"/>
            <w:vAlign w:val="center"/>
          </w:tcPr>
          <w:p w:rsidR="0012447E" w:rsidRPr="007C5606" w:rsidRDefault="0012447E" w:rsidP="00AE2D97">
            <w:pPr>
              <w:rPr>
                <w:sz w:val="22"/>
                <w:szCs w:val="22"/>
              </w:rPr>
            </w:pPr>
            <w:r w:rsidRPr="007C5606">
              <w:rPr>
                <w:sz w:val="22"/>
                <w:szCs w:val="22"/>
              </w:rPr>
              <w:t>Interim Financial Reporting</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138</w:t>
            </w:r>
          </w:p>
        </w:tc>
        <w:tc>
          <w:tcPr>
            <w:tcW w:w="5315" w:type="dxa"/>
            <w:vAlign w:val="center"/>
          </w:tcPr>
          <w:p w:rsidR="0012447E" w:rsidRPr="007C5606" w:rsidRDefault="0012447E" w:rsidP="00AE2D97">
            <w:pPr>
              <w:rPr>
                <w:sz w:val="22"/>
                <w:szCs w:val="22"/>
              </w:rPr>
            </w:pPr>
            <w:r w:rsidRPr="007C5606">
              <w:rPr>
                <w:sz w:val="22"/>
                <w:szCs w:val="22"/>
              </w:rPr>
              <w:t>Intangible Assets</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FRS 139</w:t>
            </w:r>
          </w:p>
        </w:tc>
        <w:tc>
          <w:tcPr>
            <w:tcW w:w="5315" w:type="dxa"/>
            <w:vAlign w:val="center"/>
          </w:tcPr>
          <w:p w:rsidR="0012447E" w:rsidRPr="007C5606" w:rsidRDefault="0012447E" w:rsidP="00AE2D97">
            <w:pPr>
              <w:rPr>
                <w:sz w:val="22"/>
                <w:szCs w:val="22"/>
              </w:rPr>
            </w:pPr>
            <w:r w:rsidRPr="007C5606">
              <w:rPr>
                <w:sz w:val="22"/>
                <w:szCs w:val="22"/>
              </w:rPr>
              <w:t>Financial Instruments: Recognition and Measurements</w:t>
            </w:r>
          </w:p>
        </w:tc>
      </w:tr>
      <w:tr w:rsidR="0012447E" w:rsidRPr="007C5606" w:rsidTr="007C5606">
        <w:tc>
          <w:tcPr>
            <w:tcW w:w="2965" w:type="dxa"/>
          </w:tcPr>
          <w:p w:rsidR="0012447E" w:rsidRPr="007C5606" w:rsidRDefault="0012447E" w:rsidP="007C5606">
            <w:pPr>
              <w:ind w:firstLine="72"/>
              <w:jc w:val="both"/>
              <w:rPr>
                <w:b/>
                <w:sz w:val="22"/>
                <w:u w:val="single"/>
              </w:rPr>
            </w:pPr>
            <w:r w:rsidRPr="007C5606">
              <w:rPr>
                <w:b/>
                <w:sz w:val="22"/>
                <w:u w:val="single"/>
              </w:rPr>
              <w:t xml:space="preserve">IC </w:t>
            </w:r>
            <w:proofErr w:type="spellStart"/>
            <w:r w:rsidRPr="007C5606">
              <w:rPr>
                <w:b/>
                <w:sz w:val="22"/>
                <w:u w:val="single"/>
              </w:rPr>
              <w:t>Int</w:t>
            </w:r>
            <w:proofErr w:type="spellEnd"/>
          </w:p>
        </w:tc>
        <w:tc>
          <w:tcPr>
            <w:tcW w:w="5315" w:type="dxa"/>
            <w:vAlign w:val="center"/>
          </w:tcPr>
          <w:p w:rsidR="0012447E" w:rsidRPr="007C5606" w:rsidRDefault="0012447E" w:rsidP="00AE2D97">
            <w:pPr>
              <w:rPr>
                <w:sz w:val="22"/>
                <w:szCs w:val="22"/>
              </w:rPr>
            </w:pPr>
          </w:p>
        </w:tc>
      </w:tr>
      <w:tr w:rsidR="0012447E" w:rsidRPr="007C5606" w:rsidTr="007C5606">
        <w:tc>
          <w:tcPr>
            <w:tcW w:w="2965" w:type="dxa"/>
          </w:tcPr>
          <w:p w:rsidR="0012447E" w:rsidRPr="007C5606" w:rsidRDefault="0012447E" w:rsidP="007C5606">
            <w:pPr>
              <w:ind w:firstLine="72"/>
              <w:jc w:val="both"/>
              <w:rPr>
                <w:sz w:val="22"/>
              </w:rPr>
            </w:pPr>
            <w:r w:rsidRPr="007C5606">
              <w:rPr>
                <w:sz w:val="22"/>
              </w:rPr>
              <w:t xml:space="preserve">IC </w:t>
            </w:r>
            <w:proofErr w:type="spellStart"/>
            <w:r w:rsidRPr="007C5606">
              <w:rPr>
                <w:sz w:val="22"/>
              </w:rPr>
              <w:t>Int</w:t>
            </w:r>
            <w:proofErr w:type="spellEnd"/>
            <w:r w:rsidRPr="007C5606">
              <w:rPr>
                <w:sz w:val="22"/>
              </w:rPr>
              <w:t xml:space="preserve"> 4</w:t>
            </w:r>
          </w:p>
        </w:tc>
        <w:tc>
          <w:tcPr>
            <w:tcW w:w="5315" w:type="dxa"/>
          </w:tcPr>
          <w:p w:rsidR="0012447E" w:rsidRPr="007C5606" w:rsidRDefault="0012447E" w:rsidP="007C5606">
            <w:pPr>
              <w:jc w:val="both"/>
              <w:rPr>
                <w:sz w:val="22"/>
              </w:rPr>
            </w:pPr>
            <w:r w:rsidRPr="007C5606">
              <w:rPr>
                <w:sz w:val="22"/>
              </w:rPr>
              <w:t>Determining Whether an Arrangement contains a Lease</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 xml:space="preserve">IC </w:t>
            </w:r>
            <w:proofErr w:type="spellStart"/>
            <w:r w:rsidRPr="007C5606">
              <w:rPr>
                <w:sz w:val="22"/>
              </w:rPr>
              <w:t>Int</w:t>
            </w:r>
            <w:proofErr w:type="spellEnd"/>
            <w:r w:rsidRPr="007C5606">
              <w:rPr>
                <w:sz w:val="22"/>
              </w:rPr>
              <w:t xml:space="preserve"> 12</w:t>
            </w:r>
          </w:p>
        </w:tc>
        <w:tc>
          <w:tcPr>
            <w:tcW w:w="5315" w:type="dxa"/>
          </w:tcPr>
          <w:p w:rsidR="0012447E" w:rsidRPr="007C5606" w:rsidRDefault="0012447E" w:rsidP="007C5606">
            <w:pPr>
              <w:jc w:val="both"/>
              <w:rPr>
                <w:sz w:val="22"/>
              </w:rPr>
            </w:pPr>
            <w:r w:rsidRPr="007C5606">
              <w:rPr>
                <w:sz w:val="22"/>
              </w:rPr>
              <w:t>Service Concession Arrangements</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 xml:space="preserve">IC </w:t>
            </w:r>
            <w:proofErr w:type="spellStart"/>
            <w:r w:rsidRPr="007C5606">
              <w:rPr>
                <w:sz w:val="22"/>
              </w:rPr>
              <w:t>Int</w:t>
            </w:r>
            <w:proofErr w:type="spellEnd"/>
            <w:r w:rsidRPr="007C5606">
              <w:rPr>
                <w:sz w:val="22"/>
              </w:rPr>
              <w:t xml:space="preserve"> 16</w:t>
            </w:r>
          </w:p>
        </w:tc>
        <w:tc>
          <w:tcPr>
            <w:tcW w:w="5315" w:type="dxa"/>
          </w:tcPr>
          <w:p w:rsidR="0012447E" w:rsidRPr="007C5606" w:rsidRDefault="0012447E" w:rsidP="007C5606">
            <w:pPr>
              <w:jc w:val="both"/>
              <w:rPr>
                <w:sz w:val="22"/>
              </w:rPr>
            </w:pPr>
            <w:r w:rsidRPr="007C5606">
              <w:rPr>
                <w:sz w:val="22"/>
              </w:rPr>
              <w:t>Hedges of a Net Investment in a Foreign Operation</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 xml:space="preserve">IC </w:t>
            </w:r>
            <w:proofErr w:type="spellStart"/>
            <w:r w:rsidRPr="007C5606">
              <w:rPr>
                <w:sz w:val="22"/>
              </w:rPr>
              <w:t>Int</w:t>
            </w:r>
            <w:proofErr w:type="spellEnd"/>
            <w:r w:rsidRPr="007C5606">
              <w:rPr>
                <w:sz w:val="22"/>
              </w:rPr>
              <w:t xml:space="preserve"> 17</w:t>
            </w:r>
          </w:p>
        </w:tc>
        <w:tc>
          <w:tcPr>
            <w:tcW w:w="5315" w:type="dxa"/>
          </w:tcPr>
          <w:p w:rsidR="0012447E" w:rsidRPr="007C5606" w:rsidRDefault="0012447E" w:rsidP="007C5606">
            <w:pPr>
              <w:jc w:val="both"/>
              <w:rPr>
                <w:sz w:val="22"/>
              </w:rPr>
            </w:pPr>
            <w:r w:rsidRPr="007C5606">
              <w:rPr>
                <w:sz w:val="22"/>
              </w:rPr>
              <w:t>Distributions of Non-Cash Assets of Owners</w:t>
            </w:r>
          </w:p>
        </w:tc>
      </w:tr>
      <w:tr w:rsidR="0012447E" w:rsidRPr="007C5606" w:rsidTr="007C5606">
        <w:tc>
          <w:tcPr>
            <w:tcW w:w="2965" w:type="dxa"/>
          </w:tcPr>
          <w:p w:rsidR="0012447E" w:rsidRPr="007C5606" w:rsidRDefault="0012447E" w:rsidP="007C5606">
            <w:pPr>
              <w:ind w:firstLine="72"/>
              <w:jc w:val="both"/>
              <w:rPr>
                <w:sz w:val="22"/>
              </w:rPr>
            </w:pPr>
            <w:r w:rsidRPr="007C5606">
              <w:rPr>
                <w:sz w:val="22"/>
              </w:rPr>
              <w:t xml:space="preserve">IC </w:t>
            </w:r>
            <w:proofErr w:type="spellStart"/>
            <w:r w:rsidRPr="007C5606">
              <w:rPr>
                <w:sz w:val="22"/>
              </w:rPr>
              <w:t>Int</w:t>
            </w:r>
            <w:proofErr w:type="spellEnd"/>
            <w:r w:rsidRPr="007C5606">
              <w:rPr>
                <w:sz w:val="22"/>
              </w:rPr>
              <w:t xml:space="preserve"> 18</w:t>
            </w:r>
          </w:p>
        </w:tc>
        <w:tc>
          <w:tcPr>
            <w:tcW w:w="5315" w:type="dxa"/>
            <w:vAlign w:val="center"/>
          </w:tcPr>
          <w:p w:rsidR="0012447E" w:rsidRPr="007C5606" w:rsidRDefault="0012447E" w:rsidP="00AE2D97">
            <w:pPr>
              <w:rPr>
                <w:sz w:val="22"/>
                <w:szCs w:val="22"/>
              </w:rPr>
            </w:pPr>
            <w:r w:rsidRPr="007C5606">
              <w:rPr>
                <w:sz w:val="22"/>
                <w:szCs w:val="22"/>
              </w:rPr>
              <w:t>Transfers of Assets from Customers</w:t>
            </w:r>
          </w:p>
        </w:tc>
      </w:tr>
      <w:tr w:rsidR="0012447E" w:rsidRPr="007C5606" w:rsidTr="007C5606">
        <w:tc>
          <w:tcPr>
            <w:tcW w:w="2965" w:type="dxa"/>
          </w:tcPr>
          <w:p w:rsidR="0012447E" w:rsidRPr="007C5606" w:rsidRDefault="0012447E" w:rsidP="007C5606">
            <w:pPr>
              <w:ind w:firstLine="72"/>
              <w:jc w:val="both"/>
              <w:rPr>
                <w:sz w:val="22"/>
              </w:rPr>
            </w:pPr>
          </w:p>
        </w:tc>
        <w:tc>
          <w:tcPr>
            <w:tcW w:w="5315" w:type="dxa"/>
            <w:vAlign w:val="center"/>
          </w:tcPr>
          <w:p w:rsidR="0012447E" w:rsidRPr="007C5606" w:rsidRDefault="0012447E" w:rsidP="00AE2D97">
            <w:pPr>
              <w:rPr>
                <w:sz w:val="22"/>
                <w:szCs w:val="22"/>
              </w:rPr>
            </w:pPr>
          </w:p>
        </w:tc>
      </w:tr>
      <w:tr w:rsidR="0012447E" w:rsidRPr="007C5606" w:rsidTr="007C5606">
        <w:tc>
          <w:tcPr>
            <w:tcW w:w="2965" w:type="dxa"/>
          </w:tcPr>
          <w:p w:rsidR="0012447E" w:rsidRPr="007C5606" w:rsidRDefault="0012447E" w:rsidP="00AE2D97">
            <w:pPr>
              <w:rPr>
                <w:b/>
                <w:sz w:val="22"/>
                <w:szCs w:val="22"/>
                <w:u w:val="single"/>
              </w:rPr>
            </w:pPr>
            <w:r w:rsidRPr="007C5606">
              <w:rPr>
                <w:b/>
                <w:sz w:val="22"/>
                <w:szCs w:val="22"/>
                <w:u w:val="single"/>
              </w:rPr>
              <w:lastRenderedPageBreak/>
              <w:t xml:space="preserve">Amendments to IC </w:t>
            </w:r>
            <w:proofErr w:type="spellStart"/>
            <w:r w:rsidRPr="007C5606">
              <w:rPr>
                <w:b/>
                <w:sz w:val="22"/>
                <w:szCs w:val="22"/>
                <w:u w:val="single"/>
              </w:rPr>
              <w:t>Int</w:t>
            </w:r>
            <w:proofErr w:type="spellEnd"/>
          </w:p>
        </w:tc>
        <w:tc>
          <w:tcPr>
            <w:tcW w:w="5315" w:type="dxa"/>
            <w:vAlign w:val="center"/>
          </w:tcPr>
          <w:p w:rsidR="0012447E" w:rsidRPr="007C5606" w:rsidRDefault="0012447E" w:rsidP="00AE2D97">
            <w:pPr>
              <w:rPr>
                <w:sz w:val="22"/>
                <w:szCs w:val="22"/>
              </w:rPr>
            </w:pPr>
          </w:p>
        </w:tc>
      </w:tr>
      <w:tr w:rsidR="0012447E" w:rsidRPr="007C5606" w:rsidTr="007C5606">
        <w:tc>
          <w:tcPr>
            <w:tcW w:w="2965" w:type="dxa"/>
          </w:tcPr>
          <w:p w:rsidR="0012447E" w:rsidRPr="007C5606" w:rsidRDefault="0012447E" w:rsidP="00AE2D97">
            <w:pPr>
              <w:rPr>
                <w:sz w:val="22"/>
                <w:szCs w:val="22"/>
              </w:rPr>
            </w:pPr>
            <w:r w:rsidRPr="007C5606">
              <w:rPr>
                <w:sz w:val="22"/>
                <w:szCs w:val="22"/>
              </w:rPr>
              <w:t xml:space="preserve">IC </w:t>
            </w:r>
            <w:proofErr w:type="spellStart"/>
            <w:r w:rsidRPr="007C5606">
              <w:rPr>
                <w:sz w:val="22"/>
                <w:szCs w:val="22"/>
              </w:rPr>
              <w:t>Int</w:t>
            </w:r>
            <w:proofErr w:type="spellEnd"/>
            <w:r w:rsidRPr="007C5606">
              <w:rPr>
                <w:sz w:val="22"/>
                <w:szCs w:val="22"/>
              </w:rPr>
              <w:t xml:space="preserve"> 9</w:t>
            </w:r>
          </w:p>
        </w:tc>
        <w:tc>
          <w:tcPr>
            <w:tcW w:w="5315" w:type="dxa"/>
            <w:vAlign w:val="center"/>
          </w:tcPr>
          <w:p w:rsidR="0012447E" w:rsidRPr="007C5606" w:rsidRDefault="0012447E" w:rsidP="00AE2D97">
            <w:pPr>
              <w:rPr>
                <w:sz w:val="22"/>
                <w:szCs w:val="22"/>
              </w:rPr>
            </w:pPr>
            <w:r w:rsidRPr="007C5606">
              <w:rPr>
                <w:sz w:val="22"/>
                <w:szCs w:val="22"/>
              </w:rPr>
              <w:t xml:space="preserve">Reassessment of </w:t>
            </w:r>
            <w:proofErr w:type="spellStart"/>
            <w:r w:rsidRPr="007C5606">
              <w:rPr>
                <w:sz w:val="22"/>
                <w:szCs w:val="22"/>
              </w:rPr>
              <w:t>Embeded</w:t>
            </w:r>
            <w:proofErr w:type="spellEnd"/>
            <w:r w:rsidRPr="007C5606">
              <w:rPr>
                <w:sz w:val="22"/>
                <w:szCs w:val="22"/>
              </w:rPr>
              <w:t xml:space="preserve"> Derivative</w:t>
            </w:r>
          </w:p>
        </w:tc>
      </w:tr>
      <w:tr w:rsidR="0012447E" w:rsidRPr="007C5606" w:rsidTr="007C5606">
        <w:tc>
          <w:tcPr>
            <w:tcW w:w="2965" w:type="dxa"/>
          </w:tcPr>
          <w:p w:rsidR="0012447E" w:rsidRPr="007C5606" w:rsidRDefault="0012447E" w:rsidP="00AE2D97">
            <w:pPr>
              <w:rPr>
                <w:sz w:val="22"/>
                <w:szCs w:val="22"/>
              </w:rPr>
            </w:pPr>
            <w:r w:rsidRPr="007C5606">
              <w:rPr>
                <w:sz w:val="22"/>
                <w:szCs w:val="22"/>
              </w:rPr>
              <w:t xml:space="preserve">IC </w:t>
            </w:r>
            <w:proofErr w:type="spellStart"/>
            <w:r w:rsidRPr="007C5606">
              <w:rPr>
                <w:sz w:val="22"/>
                <w:szCs w:val="22"/>
              </w:rPr>
              <w:t>Int</w:t>
            </w:r>
            <w:proofErr w:type="spellEnd"/>
            <w:r w:rsidRPr="007C5606">
              <w:rPr>
                <w:sz w:val="22"/>
                <w:szCs w:val="22"/>
              </w:rPr>
              <w:t xml:space="preserve"> 13</w:t>
            </w:r>
          </w:p>
        </w:tc>
        <w:tc>
          <w:tcPr>
            <w:tcW w:w="5315" w:type="dxa"/>
            <w:vAlign w:val="center"/>
          </w:tcPr>
          <w:p w:rsidR="0012447E" w:rsidRPr="007C5606" w:rsidRDefault="0012447E" w:rsidP="00AE2D97">
            <w:pPr>
              <w:rPr>
                <w:sz w:val="22"/>
                <w:szCs w:val="22"/>
              </w:rPr>
            </w:pPr>
            <w:r w:rsidRPr="007C5606">
              <w:rPr>
                <w:sz w:val="22"/>
                <w:szCs w:val="22"/>
              </w:rPr>
              <w:t xml:space="preserve">Customer Loyalty </w:t>
            </w:r>
            <w:proofErr w:type="spellStart"/>
            <w:r w:rsidRPr="007C5606">
              <w:rPr>
                <w:sz w:val="22"/>
                <w:szCs w:val="22"/>
              </w:rPr>
              <w:t>Programmes</w:t>
            </w:r>
            <w:proofErr w:type="spellEnd"/>
          </w:p>
        </w:tc>
      </w:tr>
    </w:tbl>
    <w:p w:rsidR="0012447E" w:rsidRDefault="0012447E" w:rsidP="007B09A2">
      <w:pPr>
        <w:tabs>
          <w:tab w:val="left" w:pos="360"/>
        </w:tabs>
        <w:ind w:left="720"/>
        <w:jc w:val="both"/>
        <w:rPr>
          <w:sz w:val="22"/>
        </w:rPr>
      </w:pPr>
    </w:p>
    <w:p w:rsidR="0012447E" w:rsidRDefault="0012447E" w:rsidP="008508D5">
      <w:pPr>
        <w:ind w:left="720"/>
        <w:jc w:val="both"/>
        <w:rPr>
          <w:sz w:val="22"/>
        </w:rPr>
      </w:pPr>
      <w:r>
        <w:rPr>
          <w:sz w:val="22"/>
        </w:rPr>
        <w:t xml:space="preserve">The adoption of these new FRSs, amendments and IC </w:t>
      </w:r>
      <w:proofErr w:type="spellStart"/>
      <w:r>
        <w:rPr>
          <w:sz w:val="22"/>
        </w:rPr>
        <w:t>Int</w:t>
      </w:r>
      <w:proofErr w:type="spellEnd"/>
      <w:r>
        <w:rPr>
          <w:sz w:val="22"/>
        </w:rPr>
        <w:t xml:space="preserve"> do not have a material impact on the interim financial information of the Group.   </w:t>
      </w:r>
    </w:p>
    <w:p w:rsidR="0012447E" w:rsidRDefault="0012447E" w:rsidP="007B09A2">
      <w:pPr>
        <w:tabs>
          <w:tab w:val="left" w:pos="360"/>
        </w:tabs>
        <w:ind w:left="720"/>
        <w:jc w:val="both"/>
        <w:rPr>
          <w:sz w:val="22"/>
        </w:rPr>
      </w:pPr>
    </w:p>
    <w:p w:rsidR="0012447E" w:rsidRPr="008508D5" w:rsidRDefault="0012447E" w:rsidP="007B09A2">
      <w:pPr>
        <w:tabs>
          <w:tab w:val="left" w:pos="360"/>
        </w:tabs>
        <w:ind w:left="720"/>
        <w:jc w:val="both"/>
        <w:rPr>
          <w:b/>
          <w:sz w:val="22"/>
        </w:rPr>
      </w:pPr>
      <w:r w:rsidRPr="008508D5">
        <w:rPr>
          <w:b/>
          <w:sz w:val="22"/>
        </w:rPr>
        <w:t xml:space="preserve">Revised FRSs, Amendments/Improvements to FRSs, IC </w:t>
      </w:r>
      <w:proofErr w:type="spellStart"/>
      <w:r w:rsidRPr="008508D5">
        <w:rPr>
          <w:b/>
          <w:sz w:val="22"/>
        </w:rPr>
        <w:t>int</w:t>
      </w:r>
      <w:proofErr w:type="spellEnd"/>
      <w:r w:rsidRPr="008508D5">
        <w:rPr>
          <w:b/>
          <w:sz w:val="22"/>
        </w:rPr>
        <w:t xml:space="preserve"> and Amendments to IC </w:t>
      </w:r>
      <w:proofErr w:type="spellStart"/>
      <w:r>
        <w:rPr>
          <w:b/>
          <w:sz w:val="22"/>
        </w:rPr>
        <w:t>Int</w:t>
      </w:r>
      <w:proofErr w:type="spellEnd"/>
      <w:r>
        <w:rPr>
          <w:b/>
          <w:sz w:val="22"/>
        </w:rPr>
        <w:t xml:space="preserve"> </w:t>
      </w:r>
      <w:r w:rsidRPr="008508D5">
        <w:rPr>
          <w:b/>
          <w:sz w:val="22"/>
        </w:rPr>
        <w:t>that are issued, but not yet effective and have not been adopted early</w:t>
      </w:r>
    </w:p>
    <w:p w:rsidR="0012447E" w:rsidRDefault="0012447E" w:rsidP="007B09A2">
      <w:pPr>
        <w:tabs>
          <w:tab w:val="left" w:pos="360"/>
        </w:tabs>
        <w:ind w:left="720"/>
        <w:jc w:val="both"/>
        <w:rPr>
          <w:sz w:val="22"/>
        </w:rPr>
      </w:pPr>
    </w:p>
    <w:p w:rsidR="0012447E" w:rsidRDefault="0012447E" w:rsidP="009A136E">
      <w:pPr>
        <w:tabs>
          <w:tab w:val="left" w:pos="360"/>
        </w:tabs>
        <w:ind w:left="720"/>
        <w:rPr>
          <w:sz w:val="22"/>
          <w:szCs w:val="22"/>
          <w:lang w:val="en-GB"/>
        </w:rPr>
      </w:pPr>
    </w:p>
    <w:p w:rsidR="0012447E" w:rsidRPr="00F63A1C" w:rsidRDefault="0012447E" w:rsidP="00F63A1C">
      <w:pPr>
        <w:tabs>
          <w:tab w:val="left" w:pos="720"/>
          <w:tab w:val="left" w:pos="1170"/>
          <w:tab w:val="left" w:pos="1620"/>
          <w:tab w:val="left" w:pos="6480"/>
        </w:tabs>
        <w:ind w:left="720"/>
        <w:jc w:val="both"/>
        <w:rPr>
          <w:sz w:val="22"/>
          <w:szCs w:val="22"/>
        </w:rPr>
      </w:pPr>
      <w:r w:rsidRPr="00F63A1C">
        <w:rPr>
          <w:sz w:val="22"/>
          <w:szCs w:val="22"/>
        </w:rPr>
        <w:t xml:space="preserve">On 19 November 2011, the Malaysian Accounting Standards Board issued the International Financial Reporting Standards (“IFRS”) compliant Malaysia Financial Reporting Standards (“MFRS”) to fully converge with IFRSs on 1 January 2012. Entities other than private entities shall apply the MFRS framework for the annual period on or after 1 January 2012, with the exception of entities subject to the application of MFRS 141 Agriculture and/or IC </w:t>
      </w:r>
      <w:proofErr w:type="spellStart"/>
      <w:r w:rsidRPr="00F63A1C">
        <w:rPr>
          <w:sz w:val="22"/>
          <w:szCs w:val="22"/>
        </w:rPr>
        <w:t>Int</w:t>
      </w:r>
      <w:proofErr w:type="spellEnd"/>
      <w:r w:rsidRPr="00F63A1C">
        <w:rPr>
          <w:sz w:val="22"/>
          <w:szCs w:val="22"/>
        </w:rPr>
        <w:t xml:space="preserve"> 15 Agreements for the Construction of Real Estate, may in the alternative apply FRS as its financial reporting framework for annual period on or after 1 January 2012 and shall comply with the MFRS framework for annual period beginning on or after 1 January 2013. </w:t>
      </w:r>
    </w:p>
    <w:p w:rsidR="0012447E" w:rsidRPr="00F63A1C" w:rsidRDefault="0012447E" w:rsidP="00F63A1C">
      <w:pPr>
        <w:tabs>
          <w:tab w:val="left" w:pos="1080"/>
          <w:tab w:val="left" w:pos="1620"/>
          <w:tab w:val="left" w:pos="6480"/>
        </w:tabs>
        <w:jc w:val="both"/>
        <w:rPr>
          <w:sz w:val="22"/>
          <w:szCs w:val="22"/>
        </w:rPr>
      </w:pPr>
    </w:p>
    <w:p w:rsidR="0012447E" w:rsidRPr="00F63A1C" w:rsidRDefault="0012447E" w:rsidP="00F63A1C">
      <w:pPr>
        <w:tabs>
          <w:tab w:val="left" w:pos="720"/>
          <w:tab w:val="left" w:pos="1080"/>
          <w:tab w:val="left" w:pos="1620"/>
          <w:tab w:val="left" w:pos="6480"/>
        </w:tabs>
        <w:ind w:left="720"/>
        <w:jc w:val="both"/>
        <w:rPr>
          <w:sz w:val="22"/>
          <w:szCs w:val="22"/>
        </w:rPr>
      </w:pPr>
      <w:r w:rsidRPr="00F63A1C">
        <w:rPr>
          <w:sz w:val="22"/>
          <w:szCs w:val="22"/>
        </w:rPr>
        <w:t xml:space="preserve">The Group, being an entity subject to the application of IC </w:t>
      </w:r>
      <w:proofErr w:type="spellStart"/>
      <w:r w:rsidRPr="00F63A1C">
        <w:rPr>
          <w:sz w:val="22"/>
          <w:szCs w:val="22"/>
        </w:rPr>
        <w:t>Int</w:t>
      </w:r>
      <w:proofErr w:type="spellEnd"/>
      <w:r w:rsidRPr="00F63A1C">
        <w:rPr>
          <w:sz w:val="22"/>
          <w:szCs w:val="22"/>
        </w:rPr>
        <w:t xml:space="preserve"> 15 Agreements for the Construction of Real Estate, elects to continue preparing its financial statements in accordance with the FRS framework and shall comply with the MFRS framework for annual period beginning on or after 1 July 2013.</w:t>
      </w:r>
    </w:p>
    <w:p w:rsidR="0012447E" w:rsidRPr="00F63A1C" w:rsidRDefault="0012447E" w:rsidP="00F63A1C">
      <w:pPr>
        <w:tabs>
          <w:tab w:val="left" w:pos="1170"/>
          <w:tab w:val="left" w:pos="1620"/>
          <w:tab w:val="left" w:pos="6480"/>
        </w:tabs>
        <w:ind w:left="1170" w:hanging="990"/>
        <w:jc w:val="both"/>
        <w:rPr>
          <w:sz w:val="22"/>
          <w:szCs w:val="22"/>
        </w:rPr>
      </w:pPr>
    </w:p>
    <w:p w:rsidR="0012447E" w:rsidRPr="008851D8" w:rsidRDefault="0012447E" w:rsidP="008851D8">
      <w:pPr>
        <w:tabs>
          <w:tab w:val="left" w:pos="720"/>
          <w:tab w:val="left" w:pos="2160"/>
        </w:tabs>
        <w:ind w:left="720"/>
        <w:jc w:val="both"/>
        <w:rPr>
          <w:b/>
          <w:bCs/>
          <w:sz w:val="22"/>
          <w:szCs w:val="22"/>
          <w:lang w:eastAsia="zh-CN"/>
        </w:rPr>
      </w:pPr>
      <w:r w:rsidRPr="008851D8">
        <w:rPr>
          <w:sz w:val="22"/>
          <w:szCs w:val="22"/>
        </w:rPr>
        <w:t>The directors do not anticipate t</w:t>
      </w:r>
      <w:r>
        <w:rPr>
          <w:sz w:val="22"/>
          <w:szCs w:val="22"/>
        </w:rPr>
        <w:t xml:space="preserve">hat the application of the </w:t>
      </w:r>
      <w:r w:rsidRPr="008851D8">
        <w:rPr>
          <w:sz w:val="22"/>
          <w:szCs w:val="22"/>
        </w:rPr>
        <w:t xml:space="preserve">revised FRSs, amendments/improvements to FRSs, IC </w:t>
      </w:r>
      <w:proofErr w:type="spellStart"/>
      <w:r w:rsidRPr="008851D8">
        <w:rPr>
          <w:sz w:val="22"/>
          <w:szCs w:val="22"/>
        </w:rPr>
        <w:t>Int</w:t>
      </w:r>
      <w:proofErr w:type="spellEnd"/>
      <w:r w:rsidRPr="008851D8">
        <w:rPr>
          <w:sz w:val="22"/>
          <w:szCs w:val="22"/>
        </w:rPr>
        <w:t xml:space="preserve">, amendments to IC </w:t>
      </w:r>
      <w:proofErr w:type="spellStart"/>
      <w:r w:rsidRPr="008851D8">
        <w:rPr>
          <w:sz w:val="22"/>
          <w:szCs w:val="22"/>
        </w:rPr>
        <w:t>Int</w:t>
      </w:r>
      <w:proofErr w:type="spellEnd"/>
      <w:r w:rsidRPr="008851D8">
        <w:rPr>
          <w:sz w:val="22"/>
          <w:szCs w:val="22"/>
        </w:rPr>
        <w:t xml:space="preserve"> and new MFRSs when they are effective, will have a material impact on the results and the financial position of the Group.</w:t>
      </w:r>
    </w:p>
    <w:p w:rsidR="0012447E" w:rsidRDefault="0012447E" w:rsidP="009A136E">
      <w:pPr>
        <w:tabs>
          <w:tab w:val="left" w:pos="360"/>
        </w:tabs>
        <w:ind w:left="720"/>
        <w:rPr>
          <w:b/>
          <w:bCs/>
          <w:sz w:val="22"/>
          <w:szCs w:val="22"/>
          <w:lang w:eastAsia="zh-CN"/>
        </w:rPr>
      </w:pPr>
    </w:p>
    <w:p w:rsidR="0012447E" w:rsidRDefault="0012447E" w:rsidP="009A136E">
      <w:pPr>
        <w:tabs>
          <w:tab w:val="left" w:pos="360"/>
        </w:tabs>
        <w:ind w:left="720"/>
        <w:rPr>
          <w:b/>
          <w:bCs/>
          <w:sz w:val="22"/>
          <w:szCs w:val="22"/>
          <w:lang w:eastAsia="zh-CN"/>
        </w:rPr>
      </w:pPr>
    </w:p>
    <w:p w:rsidR="0012447E" w:rsidRPr="00743520" w:rsidRDefault="0012447E" w:rsidP="00547794">
      <w:pPr>
        <w:tabs>
          <w:tab w:val="left" w:pos="360"/>
        </w:tabs>
        <w:rPr>
          <w:b/>
          <w:sz w:val="22"/>
          <w:szCs w:val="22"/>
          <w:lang w:val="en-GB"/>
        </w:rPr>
      </w:pPr>
      <w:r w:rsidRPr="00743520">
        <w:rPr>
          <w:b/>
          <w:sz w:val="22"/>
          <w:szCs w:val="22"/>
          <w:lang w:val="en-GB"/>
        </w:rPr>
        <w:t>A</w:t>
      </w:r>
      <w:r>
        <w:rPr>
          <w:b/>
          <w:sz w:val="22"/>
          <w:szCs w:val="22"/>
          <w:lang w:val="en-GB"/>
        </w:rPr>
        <w:t>3.</w:t>
      </w:r>
      <w:r>
        <w:rPr>
          <w:b/>
          <w:sz w:val="22"/>
          <w:szCs w:val="22"/>
          <w:lang w:val="en-GB"/>
        </w:rPr>
        <w:tab/>
      </w:r>
      <w:r>
        <w:rPr>
          <w:b/>
          <w:sz w:val="22"/>
          <w:szCs w:val="22"/>
          <w:lang w:val="en-GB"/>
        </w:rPr>
        <w:tab/>
        <w:t>S</w:t>
      </w:r>
      <w:r w:rsidRPr="00743520">
        <w:rPr>
          <w:b/>
          <w:sz w:val="22"/>
          <w:szCs w:val="22"/>
          <w:lang w:val="en-GB"/>
        </w:rPr>
        <w:t>easonality or Cyclicality of Operations</w:t>
      </w:r>
    </w:p>
    <w:p w:rsidR="0012447E" w:rsidRPr="00743520" w:rsidRDefault="0012447E" w:rsidP="00547794">
      <w:pPr>
        <w:tabs>
          <w:tab w:val="left" w:pos="360"/>
        </w:tabs>
        <w:ind w:left="360"/>
        <w:rPr>
          <w:b/>
          <w:bCs/>
          <w:sz w:val="22"/>
          <w:szCs w:val="22"/>
          <w:lang w:val="en-GB"/>
        </w:rPr>
      </w:pPr>
    </w:p>
    <w:p w:rsidR="0012447E" w:rsidRPr="00743520" w:rsidRDefault="0012447E" w:rsidP="00E37BA6">
      <w:pPr>
        <w:tabs>
          <w:tab w:val="left" w:pos="360"/>
        </w:tabs>
        <w:ind w:left="720"/>
        <w:jc w:val="both"/>
        <w:rPr>
          <w:bCs/>
          <w:sz w:val="22"/>
          <w:szCs w:val="22"/>
          <w:lang w:val="en-GB"/>
        </w:rPr>
      </w:pPr>
      <w:r w:rsidRPr="00743520">
        <w:rPr>
          <w:bCs/>
          <w:sz w:val="22"/>
          <w:szCs w:val="22"/>
          <w:lang w:val="en-GB"/>
        </w:rPr>
        <w:t>The business operations of the Group are not affected by any material seasonal or cyclical factors.</w:t>
      </w:r>
    </w:p>
    <w:p w:rsidR="0012447E" w:rsidRDefault="0012447E" w:rsidP="00783B47">
      <w:pPr>
        <w:tabs>
          <w:tab w:val="left" w:pos="1653"/>
        </w:tabs>
        <w:jc w:val="both"/>
        <w:rPr>
          <w:bCs/>
          <w:sz w:val="22"/>
          <w:szCs w:val="22"/>
          <w:lang w:val="en-GB"/>
        </w:rPr>
      </w:pPr>
      <w:r>
        <w:rPr>
          <w:bCs/>
          <w:sz w:val="22"/>
          <w:szCs w:val="22"/>
          <w:lang w:val="en-GB"/>
        </w:rPr>
        <w:tab/>
      </w:r>
    </w:p>
    <w:p w:rsidR="0012447E" w:rsidRPr="00743520" w:rsidRDefault="0012447E" w:rsidP="00825228">
      <w:pPr>
        <w:tabs>
          <w:tab w:val="left" w:pos="360"/>
        </w:tabs>
        <w:jc w:val="both"/>
        <w:rPr>
          <w:b/>
          <w:sz w:val="22"/>
          <w:szCs w:val="22"/>
          <w:lang w:val="en-GB"/>
        </w:rPr>
      </w:pPr>
      <w:r w:rsidRPr="00743520">
        <w:rPr>
          <w:b/>
          <w:sz w:val="22"/>
          <w:szCs w:val="22"/>
          <w:lang w:val="en-GB"/>
        </w:rPr>
        <w:t>A</w:t>
      </w:r>
      <w:r>
        <w:rPr>
          <w:b/>
          <w:sz w:val="22"/>
          <w:szCs w:val="22"/>
          <w:lang w:val="en-GB"/>
        </w:rPr>
        <w:t>4.</w:t>
      </w:r>
      <w:r w:rsidRPr="00743520">
        <w:rPr>
          <w:b/>
          <w:sz w:val="22"/>
          <w:szCs w:val="22"/>
          <w:lang w:val="en-GB"/>
        </w:rPr>
        <w:t xml:space="preserve">  </w:t>
      </w:r>
      <w:r w:rsidRPr="00743520">
        <w:rPr>
          <w:b/>
          <w:sz w:val="22"/>
          <w:szCs w:val="22"/>
          <w:lang w:val="en-GB"/>
        </w:rPr>
        <w:tab/>
        <w:t>Unusual Items</w:t>
      </w:r>
    </w:p>
    <w:p w:rsidR="0012447E" w:rsidRPr="00743520" w:rsidRDefault="0012447E" w:rsidP="00825228">
      <w:pPr>
        <w:jc w:val="both"/>
        <w:rPr>
          <w:sz w:val="22"/>
          <w:szCs w:val="22"/>
          <w:lang w:val="en-GB"/>
        </w:rPr>
      </w:pPr>
    </w:p>
    <w:p w:rsidR="0012447E" w:rsidRDefault="0012447E" w:rsidP="007F34ED">
      <w:pPr>
        <w:pStyle w:val="BodyTextIndent"/>
        <w:tabs>
          <w:tab w:val="num" w:pos="720"/>
          <w:tab w:val="left" w:pos="810"/>
        </w:tabs>
        <w:jc w:val="both"/>
        <w:rPr>
          <w:sz w:val="22"/>
          <w:szCs w:val="22"/>
        </w:rPr>
      </w:pPr>
      <w:r w:rsidRPr="00743520">
        <w:rPr>
          <w:sz w:val="22"/>
          <w:szCs w:val="22"/>
        </w:rPr>
        <w:t xml:space="preserve">There were no unusual items that have material effects on the assets, liabilities, equity, net income, or cash flows </w:t>
      </w:r>
      <w:r>
        <w:rPr>
          <w:sz w:val="22"/>
          <w:szCs w:val="22"/>
        </w:rPr>
        <w:t>for the current financial year-to-date other than those mentioned in Note B1.</w:t>
      </w:r>
    </w:p>
    <w:p w:rsidR="0012447E" w:rsidRDefault="0012447E" w:rsidP="007F34ED">
      <w:pPr>
        <w:pStyle w:val="BodyTextIndent"/>
        <w:tabs>
          <w:tab w:val="num" w:pos="720"/>
          <w:tab w:val="left" w:pos="810"/>
        </w:tabs>
        <w:jc w:val="both"/>
        <w:rPr>
          <w:sz w:val="22"/>
          <w:szCs w:val="22"/>
        </w:rPr>
      </w:pPr>
    </w:p>
    <w:p w:rsidR="0012447E" w:rsidRPr="00743520" w:rsidRDefault="0012447E" w:rsidP="00825228">
      <w:pPr>
        <w:tabs>
          <w:tab w:val="left" w:pos="360"/>
        </w:tabs>
        <w:jc w:val="both"/>
        <w:rPr>
          <w:sz w:val="22"/>
          <w:szCs w:val="22"/>
          <w:lang w:val="en-GB"/>
        </w:rPr>
      </w:pPr>
      <w:r w:rsidRPr="00743520">
        <w:rPr>
          <w:b/>
          <w:bCs/>
          <w:sz w:val="22"/>
          <w:szCs w:val="22"/>
          <w:lang w:val="en-GB"/>
        </w:rPr>
        <w:t>A</w:t>
      </w:r>
      <w:r>
        <w:rPr>
          <w:b/>
          <w:bCs/>
          <w:sz w:val="22"/>
          <w:szCs w:val="22"/>
          <w:lang w:val="en-GB"/>
        </w:rPr>
        <w:t>5.</w:t>
      </w:r>
      <w:r w:rsidRPr="00743520">
        <w:rPr>
          <w:b/>
          <w:bCs/>
          <w:sz w:val="22"/>
          <w:szCs w:val="22"/>
          <w:lang w:val="en-GB"/>
        </w:rPr>
        <w:tab/>
      </w:r>
      <w:r w:rsidRPr="00743520">
        <w:rPr>
          <w:b/>
          <w:bCs/>
          <w:sz w:val="22"/>
          <w:szCs w:val="22"/>
          <w:lang w:val="en-GB"/>
        </w:rPr>
        <w:tab/>
        <w:t>Material Changes in Estimates</w:t>
      </w:r>
    </w:p>
    <w:p w:rsidR="0012447E" w:rsidRPr="00743520" w:rsidRDefault="0012447E" w:rsidP="00AD5F5F">
      <w:pPr>
        <w:jc w:val="both"/>
        <w:rPr>
          <w:sz w:val="22"/>
          <w:szCs w:val="22"/>
          <w:lang w:val="en-GB"/>
        </w:rPr>
      </w:pPr>
    </w:p>
    <w:p w:rsidR="0012447E" w:rsidRDefault="0012447E" w:rsidP="00453D8A">
      <w:pPr>
        <w:ind w:left="720"/>
        <w:rPr>
          <w:sz w:val="22"/>
          <w:szCs w:val="22"/>
          <w:lang w:val="en-GB"/>
        </w:rPr>
      </w:pPr>
      <w:r w:rsidRPr="00743520">
        <w:rPr>
          <w:sz w:val="22"/>
          <w:szCs w:val="22"/>
          <w:lang w:val="en-GB"/>
        </w:rPr>
        <w:t>There was no change to estimate</w:t>
      </w:r>
      <w:r>
        <w:rPr>
          <w:sz w:val="22"/>
          <w:szCs w:val="22"/>
          <w:lang w:val="en-GB"/>
        </w:rPr>
        <w:t>s</w:t>
      </w:r>
      <w:r w:rsidRPr="00743520">
        <w:rPr>
          <w:sz w:val="22"/>
          <w:szCs w:val="22"/>
          <w:lang w:val="en-GB"/>
        </w:rPr>
        <w:t xml:space="preserve"> that ha</w:t>
      </w:r>
      <w:r>
        <w:rPr>
          <w:sz w:val="22"/>
          <w:szCs w:val="22"/>
          <w:lang w:val="en-GB"/>
        </w:rPr>
        <w:t>s</w:t>
      </w:r>
      <w:r w:rsidRPr="00743520">
        <w:rPr>
          <w:sz w:val="22"/>
          <w:szCs w:val="22"/>
          <w:lang w:val="en-GB"/>
        </w:rPr>
        <w:t xml:space="preserve"> a material effect in the current </w:t>
      </w:r>
      <w:r>
        <w:rPr>
          <w:sz w:val="22"/>
          <w:szCs w:val="22"/>
          <w:lang w:val="en-GB"/>
        </w:rPr>
        <w:t xml:space="preserve">year </w:t>
      </w:r>
      <w:r w:rsidRPr="00743520">
        <w:rPr>
          <w:sz w:val="22"/>
          <w:szCs w:val="22"/>
          <w:lang w:val="en-GB"/>
        </w:rPr>
        <w:t>quarter</w:t>
      </w:r>
      <w:r>
        <w:rPr>
          <w:sz w:val="22"/>
          <w:szCs w:val="22"/>
          <w:lang w:val="en-GB"/>
        </w:rPr>
        <w:t xml:space="preserve"> and current financial year-to-date</w:t>
      </w:r>
      <w:r w:rsidRPr="00743520">
        <w:rPr>
          <w:sz w:val="22"/>
          <w:szCs w:val="22"/>
          <w:lang w:val="en-GB"/>
        </w:rPr>
        <w:t xml:space="preserve">. </w:t>
      </w:r>
    </w:p>
    <w:p w:rsidR="0012447E" w:rsidRDefault="0012447E" w:rsidP="00453D8A">
      <w:pPr>
        <w:ind w:left="720"/>
        <w:rPr>
          <w:sz w:val="22"/>
          <w:szCs w:val="22"/>
          <w:lang w:val="en-GB"/>
        </w:rPr>
      </w:pPr>
    </w:p>
    <w:p w:rsidR="0012447E" w:rsidRPr="00743520" w:rsidRDefault="0012447E" w:rsidP="00AD5F5F">
      <w:pPr>
        <w:ind w:left="360" w:hanging="360"/>
        <w:jc w:val="both"/>
        <w:rPr>
          <w:b/>
          <w:sz w:val="22"/>
          <w:szCs w:val="22"/>
          <w:lang w:val="en-GB"/>
        </w:rPr>
      </w:pPr>
      <w:r w:rsidRPr="00743520">
        <w:rPr>
          <w:b/>
          <w:sz w:val="22"/>
          <w:szCs w:val="22"/>
          <w:lang w:val="en-GB"/>
        </w:rPr>
        <w:t>A</w:t>
      </w:r>
      <w:r>
        <w:rPr>
          <w:b/>
          <w:sz w:val="22"/>
          <w:szCs w:val="22"/>
          <w:lang w:val="en-GB"/>
        </w:rPr>
        <w:t>6</w:t>
      </w:r>
      <w:r w:rsidRPr="00743520">
        <w:rPr>
          <w:b/>
          <w:sz w:val="22"/>
          <w:szCs w:val="22"/>
          <w:lang w:val="en-GB"/>
        </w:rPr>
        <w:t>.</w:t>
      </w:r>
      <w:r w:rsidRPr="00743520">
        <w:rPr>
          <w:b/>
          <w:bCs/>
          <w:sz w:val="22"/>
          <w:szCs w:val="22"/>
          <w:lang w:val="en-GB"/>
        </w:rPr>
        <w:tab/>
      </w:r>
      <w:r w:rsidRPr="00743520">
        <w:rPr>
          <w:b/>
          <w:bCs/>
          <w:sz w:val="22"/>
          <w:szCs w:val="22"/>
          <w:lang w:val="en-GB"/>
        </w:rPr>
        <w:tab/>
        <w:t>Debt and Equity Securities</w:t>
      </w:r>
      <w:r w:rsidRPr="00743520">
        <w:rPr>
          <w:b/>
          <w:sz w:val="22"/>
          <w:szCs w:val="22"/>
          <w:lang w:val="en-GB"/>
        </w:rPr>
        <w:t xml:space="preserve">  </w:t>
      </w:r>
    </w:p>
    <w:p w:rsidR="0012447E" w:rsidRPr="00743520" w:rsidRDefault="0012447E" w:rsidP="00746D50">
      <w:pPr>
        <w:ind w:left="360" w:hanging="360"/>
        <w:jc w:val="both"/>
        <w:rPr>
          <w:b/>
          <w:sz w:val="22"/>
          <w:szCs w:val="22"/>
          <w:lang w:val="en-GB"/>
        </w:rPr>
      </w:pPr>
    </w:p>
    <w:p w:rsidR="0012447E" w:rsidRDefault="0012447E" w:rsidP="00AD0069">
      <w:pPr>
        <w:pStyle w:val="BodyTextIndent"/>
        <w:rPr>
          <w:sz w:val="22"/>
          <w:szCs w:val="22"/>
          <w:lang w:val="en-GB"/>
        </w:rPr>
      </w:pPr>
      <w:r>
        <w:rPr>
          <w:sz w:val="22"/>
          <w:szCs w:val="22"/>
          <w:lang w:val="en-GB"/>
        </w:rPr>
        <w:t>T</w:t>
      </w:r>
      <w:r w:rsidRPr="00743520">
        <w:rPr>
          <w:sz w:val="22"/>
          <w:szCs w:val="22"/>
          <w:lang w:val="en-GB"/>
        </w:rPr>
        <w:t xml:space="preserve">here were no other issuances, cancellations, repurchases, resale and repayments of debt and equity securities in the current </w:t>
      </w:r>
      <w:r>
        <w:rPr>
          <w:sz w:val="22"/>
          <w:szCs w:val="22"/>
          <w:lang w:val="en-GB"/>
        </w:rPr>
        <w:t>year quarter and current financial year-to-date</w:t>
      </w:r>
      <w:r w:rsidRPr="00743520">
        <w:rPr>
          <w:sz w:val="22"/>
          <w:szCs w:val="22"/>
          <w:lang w:val="en-GB"/>
        </w:rPr>
        <w:t xml:space="preserve">. </w:t>
      </w:r>
    </w:p>
    <w:p w:rsidR="0012447E" w:rsidRDefault="0012447E" w:rsidP="000D13F0">
      <w:pPr>
        <w:tabs>
          <w:tab w:val="left" w:pos="2048"/>
        </w:tabs>
        <w:rPr>
          <w:b/>
          <w:sz w:val="22"/>
          <w:szCs w:val="22"/>
          <w:lang w:val="en-GB"/>
        </w:rPr>
      </w:pPr>
      <w:r>
        <w:rPr>
          <w:b/>
          <w:sz w:val="22"/>
          <w:szCs w:val="22"/>
          <w:lang w:val="en-GB"/>
        </w:rPr>
        <w:lastRenderedPageBreak/>
        <w:tab/>
      </w:r>
    </w:p>
    <w:p w:rsidR="0012447E" w:rsidRPr="00743520" w:rsidRDefault="0012447E" w:rsidP="00825228">
      <w:pPr>
        <w:rPr>
          <w:b/>
          <w:bCs/>
          <w:sz w:val="22"/>
          <w:szCs w:val="22"/>
          <w:lang w:val="en-GB"/>
        </w:rPr>
      </w:pPr>
      <w:r w:rsidRPr="00743520">
        <w:rPr>
          <w:b/>
          <w:sz w:val="22"/>
          <w:szCs w:val="22"/>
          <w:lang w:val="en-GB"/>
        </w:rPr>
        <w:t>A</w:t>
      </w:r>
      <w:r>
        <w:rPr>
          <w:b/>
          <w:sz w:val="22"/>
          <w:szCs w:val="22"/>
          <w:lang w:val="en-GB"/>
        </w:rPr>
        <w:t>7</w:t>
      </w:r>
      <w:r w:rsidRPr="00743520">
        <w:rPr>
          <w:b/>
          <w:sz w:val="22"/>
          <w:szCs w:val="22"/>
          <w:lang w:val="en-GB"/>
        </w:rPr>
        <w:t>.</w:t>
      </w:r>
      <w:r w:rsidRPr="00743520">
        <w:rPr>
          <w:b/>
          <w:sz w:val="22"/>
          <w:szCs w:val="22"/>
          <w:lang w:val="en-GB"/>
        </w:rPr>
        <w:tab/>
      </w:r>
      <w:r w:rsidRPr="00743520">
        <w:rPr>
          <w:b/>
          <w:bCs/>
          <w:sz w:val="22"/>
          <w:szCs w:val="22"/>
          <w:lang w:val="en-GB"/>
        </w:rPr>
        <w:t xml:space="preserve">Dividend </w:t>
      </w:r>
    </w:p>
    <w:p w:rsidR="0012447E" w:rsidRPr="00743520" w:rsidRDefault="0012447E" w:rsidP="00825228">
      <w:pPr>
        <w:ind w:left="360" w:hanging="360"/>
        <w:rPr>
          <w:sz w:val="22"/>
          <w:szCs w:val="22"/>
          <w:lang w:val="en-GB"/>
        </w:rPr>
      </w:pPr>
    </w:p>
    <w:p w:rsidR="0012447E" w:rsidRDefault="0012447E" w:rsidP="00DD4D6D">
      <w:pPr>
        <w:ind w:left="720"/>
        <w:jc w:val="both"/>
        <w:rPr>
          <w:sz w:val="22"/>
          <w:szCs w:val="22"/>
          <w:lang w:val="en-GB"/>
        </w:rPr>
      </w:pPr>
      <w:r>
        <w:rPr>
          <w:sz w:val="22"/>
          <w:szCs w:val="22"/>
        </w:rPr>
        <w:t>No dividend has been paid in</w:t>
      </w:r>
      <w:r w:rsidRPr="00743520">
        <w:rPr>
          <w:sz w:val="22"/>
          <w:szCs w:val="22"/>
          <w:lang w:val="en-GB"/>
        </w:rPr>
        <w:t xml:space="preserve"> </w:t>
      </w:r>
      <w:r>
        <w:rPr>
          <w:sz w:val="22"/>
          <w:szCs w:val="22"/>
          <w:lang w:val="en-GB"/>
        </w:rPr>
        <w:t xml:space="preserve">the </w:t>
      </w:r>
      <w:r w:rsidRPr="00743520">
        <w:rPr>
          <w:sz w:val="22"/>
          <w:szCs w:val="22"/>
          <w:lang w:val="en-GB"/>
        </w:rPr>
        <w:t xml:space="preserve">current </w:t>
      </w:r>
      <w:r>
        <w:rPr>
          <w:sz w:val="22"/>
          <w:szCs w:val="22"/>
          <w:lang w:val="en-GB"/>
        </w:rPr>
        <w:t>financial year-to-date.</w:t>
      </w:r>
    </w:p>
    <w:p w:rsidR="0012447E" w:rsidRDefault="0012447E" w:rsidP="00DD4D6D">
      <w:pPr>
        <w:ind w:left="720"/>
        <w:jc w:val="both"/>
        <w:rPr>
          <w:sz w:val="22"/>
          <w:szCs w:val="22"/>
          <w:lang w:val="en-GB"/>
        </w:rPr>
      </w:pPr>
    </w:p>
    <w:p w:rsidR="0012447E" w:rsidRDefault="0012447E" w:rsidP="00DD4D6D">
      <w:pPr>
        <w:ind w:left="720"/>
        <w:jc w:val="both"/>
        <w:rPr>
          <w:sz w:val="22"/>
          <w:szCs w:val="22"/>
          <w:lang w:val="en-GB"/>
        </w:rPr>
      </w:pPr>
    </w:p>
    <w:p w:rsidR="0012447E" w:rsidRDefault="0012447E" w:rsidP="003A0E25">
      <w:pPr>
        <w:pStyle w:val="BodyTextIndent"/>
        <w:ind w:hanging="720"/>
        <w:jc w:val="both"/>
        <w:rPr>
          <w:b/>
          <w:sz w:val="22"/>
          <w:szCs w:val="22"/>
        </w:rPr>
      </w:pPr>
      <w:r w:rsidRPr="007B3D58">
        <w:rPr>
          <w:b/>
          <w:sz w:val="22"/>
          <w:szCs w:val="22"/>
        </w:rPr>
        <w:t>A8.</w:t>
      </w:r>
      <w:r w:rsidRPr="007B3D58">
        <w:rPr>
          <w:b/>
          <w:sz w:val="22"/>
          <w:szCs w:val="22"/>
        </w:rPr>
        <w:tab/>
        <w:t>Segment</w:t>
      </w:r>
      <w:r>
        <w:rPr>
          <w:b/>
          <w:sz w:val="22"/>
          <w:szCs w:val="22"/>
        </w:rPr>
        <w:t>al Results</w:t>
      </w:r>
    </w:p>
    <w:p w:rsidR="0012447E" w:rsidRPr="00F41D30" w:rsidRDefault="0012447E" w:rsidP="003A0E25">
      <w:pPr>
        <w:pStyle w:val="BodyTextIndent"/>
        <w:ind w:hanging="720"/>
        <w:jc w:val="both"/>
        <w:rPr>
          <w:sz w:val="22"/>
          <w:szCs w:val="22"/>
        </w:rPr>
      </w:pPr>
    </w:p>
    <w:p w:rsidR="0012447E" w:rsidRPr="00F41D30" w:rsidRDefault="0012447E" w:rsidP="003A0E25">
      <w:pPr>
        <w:pStyle w:val="BodyTextIndent"/>
        <w:ind w:hanging="720"/>
        <w:jc w:val="both"/>
        <w:rPr>
          <w:sz w:val="22"/>
          <w:szCs w:val="22"/>
        </w:rPr>
      </w:pPr>
      <w:r w:rsidRPr="00F41D30">
        <w:rPr>
          <w:sz w:val="22"/>
          <w:szCs w:val="22"/>
        </w:rPr>
        <w:tab/>
        <w:t>Segmental results are included in Note B1 below.</w:t>
      </w:r>
    </w:p>
    <w:p w:rsidR="0012447E" w:rsidRDefault="0012447E" w:rsidP="00DD145F">
      <w:pPr>
        <w:pStyle w:val="BodyTextIndent"/>
        <w:ind w:hanging="720"/>
        <w:jc w:val="both"/>
        <w:rPr>
          <w:sz w:val="22"/>
          <w:szCs w:val="22"/>
        </w:rPr>
      </w:pPr>
      <w:r w:rsidRPr="007B3D58">
        <w:rPr>
          <w:sz w:val="22"/>
          <w:szCs w:val="22"/>
        </w:rPr>
        <w:tab/>
      </w:r>
    </w:p>
    <w:p w:rsidR="0012447E" w:rsidRDefault="0012447E" w:rsidP="000D13F0">
      <w:pPr>
        <w:pStyle w:val="BodyText"/>
        <w:spacing w:line="180" w:lineRule="exact"/>
        <w:rPr>
          <w:sz w:val="22"/>
          <w:szCs w:val="22"/>
        </w:rPr>
      </w:pPr>
    </w:p>
    <w:p w:rsidR="0012447E" w:rsidRDefault="0012447E" w:rsidP="0021505A">
      <w:pPr>
        <w:tabs>
          <w:tab w:val="left" w:pos="360"/>
        </w:tabs>
        <w:jc w:val="both"/>
        <w:rPr>
          <w:b/>
          <w:bCs/>
          <w:sz w:val="22"/>
          <w:szCs w:val="22"/>
          <w:lang w:val="en-GB"/>
        </w:rPr>
      </w:pPr>
      <w:r w:rsidRPr="00743520">
        <w:rPr>
          <w:b/>
          <w:sz w:val="22"/>
          <w:szCs w:val="22"/>
          <w:lang w:val="en-GB"/>
        </w:rPr>
        <w:t>A</w:t>
      </w:r>
      <w:r>
        <w:rPr>
          <w:b/>
          <w:sz w:val="22"/>
          <w:szCs w:val="22"/>
          <w:lang w:val="en-GB"/>
        </w:rPr>
        <w:t>9</w:t>
      </w:r>
      <w:r w:rsidRPr="00743520">
        <w:rPr>
          <w:b/>
          <w:sz w:val="22"/>
          <w:szCs w:val="22"/>
          <w:lang w:val="en-GB"/>
        </w:rPr>
        <w:t>.</w:t>
      </w:r>
      <w:r w:rsidRPr="00743520">
        <w:rPr>
          <w:b/>
          <w:sz w:val="22"/>
          <w:szCs w:val="22"/>
          <w:lang w:val="en-GB"/>
        </w:rPr>
        <w:tab/>
      </w:r>
      <w:r>
        <w:rPr>
          <w:b/>
          <w:sz w:val="22"/>
          <w:szCs w:val="22"/>
          <w:lang w:val="en-GB"/>
        </w:rPr>
        <w:tab/>
      </w:r>
      <w:r w:rsidRPr="00E02AAB">
        <w:rPr>
          <w:b/>
          <w:sz w:val="22"/>
          <w:szCs w:val="22"/>
          <w:lang w:val="en-GB"/>
        </w:rPr>
        <w:t>Material S</w:t>
      </w:r>
      <w:r w:rsidRPr="00E02AAB">
        <w:rPr>
          <w:b/>
          <w:bCs/>
          <w:sz w:val="22"/>
          <w:szCs w:val="22"/>
          <w:lang w:val="en-GB"/>
        </w:rPr>
        <w:t>ubsequent Events</w:t>
      </w:r>
    </w:p>
    <w:p w:rsidR="0012447E" w:rsidRDefault="0012447E" w:rsidP="002308C2">
      <w:pPr>
        <w:tabs>
          <w:tab w:val="left" w:pos="360"/>
        </w:tabs>
        <w:ind w:left="720"/>
        <w:jc w:val="both"/>
        <w:rPr>
          <w:sz w:val="22"/>
          <w:szCs w:val="22"/>
        </w:rPr>
      </w:pPr>
    </w:p>
    <w:p w:rsidR="0012447E" w:rsidRPr="003A7219" w:rsidRDefault="0035066B" w:rsidP="002308C2">
      <w:pPr>
        <w:tabs>
          <w:tab w:val="left" w:pos="360"/>
        </w:tabs>
        <w:ind w:left="720"/>
        <w:jc w:val="both"/>
        <w:rPr>
          <w:sz w:val="22"/>
          <w:szCs w:val="22"/>
        </w:rPr>
      </w:pPr>
      <w:proofErr w:type="gramStart"/>
      <w:r>
        <w:rPr>
          <w:sz w:val="22"/>
          <w:szCs w:val="22"/>
        </w:rPr>
        <w:t>The  Company</w:t>
      </w:r>
      <w:proofErr w:type="gramEnd"/>
      <w:r w:rsidR="0012447E">
        <w:rPr>
          <w:sz w:val="22"/>
          <w:szCs w:val="22"/>
        </w:rPr>
        <w:t xml:space="preserve"> had</w:t>
      </w:r>
      <w:r w:rsidR="0012447E" w:rsidRPr="003A7219">
        <w:rPr>
          <w:sz w:val="22"/>
          <w:szCs w:val="22"/>
        </w:rPr>
        <w:t xml:space="preserve"> on </w:t>
      </w:r>
      <w:r w:rsidR="0012447E">
        <w:rPr>
          <w:sz w:val="22"/>
          <w:szCs w:val="22"/>
        </w:rPr>
        <w:t>17 February 2</w:t>
      </w:r>
      <w:r w:rsidR="0012447E" w:rsidRPr="003A7219">
        <w:rPr>
          <w:sz w:val="22"/>
          <w:szCs w:val="22"/>
        </w:rPr>
        <w:t>01</w:t>
      </w:r>
      <w:r w:rsidR="0012447E">
        <w:rPr>
          <w:sz w:val="22"/>
          <w:szCs w:val="22"/>
        </w:rPr>
        <w:t>2</w:t>
      </w:r>
      <w:r w:rsidR="0012447E" w:rsidRPr="003A7219">
        <w:rPr>
          <w:sz w:val="22"/>
          <w:szCs w:val="22"/>
        </w:rPr>
        <w:t>, entered into a</w:t>
      </w:r>
      <w:r w:rsidR="0012447E">
        <w:rPr>
          <w:sz w:val="22"/>
          <w:szCs w:val="22"/>
        </w:rPr>
        <w:t xml:space="preserve">n agreement </w:t>
      </w:r>
      <w:r w:rsidR="0012447E" w:rsidRPr="003A7219">
        <w:rPr>
          <w:sz w:val="22"/>
          <w:szCs w:val="22"/>
        </w:rPr>
        <w:t xml:space="preserve">to </w:t>
      </w:r>
      <w:r w:rsidR="0012447E">
        <w:rPr>
          <w:sz w:val="22"/>
          <w:szCs w:val="22"/>
        </w:rPr>
        <w:t xml:space="preserve">purchase 4,590,191 ordinary shares of RM1.00 each representing 15.80% equity interest in subsidiary West Coast Expressway </w:t>
      </w:r>
      <w:proofErr w:type="spellStart"/>
      <w:r w:rsidR="0012447E">
        <w:rPr>
          <w:sz w:val="22"/>
          <w:szCs w:val="22"/>
        </w:rPr>
        <w:t>Sdn</w:t>
      </w:r>
      <w:proofErr w:type="spellEnd"/>
      <w:r w:rsidR="0012447E">
        <w:rPr>
          <w:sz w:val="22"/>
          <w:szCs w:val="22"/>
        </w:rPr>
        <w:t xml:space="preserve"> </w:t>
      </w:r>
      <w:proofErr w:type="spellStart"/>
      <w:r w:rsidR="0012447E">
        <w:rPr>
          <w:sz w:val="22"/>
          <w:szCs w:val="22"/>
        </w:rPr>
        <w:t>Bhd</w:t>
      </w:r>
      <w:proofErr w:type="spellEnd"/>
      <w:r w:rsidR="0012447E">
        <w:rPr>
          <w:sz w:val="22"/>
          <w:szCs w:val="22"/>
        </w:rPr>
        <w:t xml:space="preserve"> (WCE) for </w:t>
      </w:r>
      <w:r w:rsidR="0012447E" w:rsidRPr="003A7219">
        <w:rPr>
          <w:sz w:val="22"/>
          <w:szCs w:val="22"/>
        </w:rPr>
        <w:t xml:space="preserve">a total </w:t>
      </w:r>
      <w:r w:rsidR="0012447E">
        <w:rPr>
          <w:sz w:val="22"/>
          <w:szCs w:val="22"/>
        </w:rPr>
        <w:t>purchase</w:t>
      </w:r>
      <w:r w:rsidR="0012447E" w:rsidRPr="003A7219">
        <w:rPr>
          <w:sz w:val="22"/>
          <w:szCs w:val="22"/>
        </w:rPr>
        <w:t xml:space="preserve"> consideration of RM</w:t>
      </w:r>
      <w:r w:rsidR="0012447E">
        <w:rPr>
          <w:sz w:val="22"/>
          <w:szCs w:val="22"/>
        </w:rPr>
        <w:t>5,336,097-00</w:t>
      </w:r>
      <w:r w:rsidR="0012447E" w:rsidRPr="003A7219">
        <w:rPr>
          <w:sz w:val="22"/>
          <w:szCs w:val="22"/>
        </w:rPr>
        <w:t xml:space="preserve">.  </w:t>
      </w:r>
      <w:r w:rsidR="0012447E">
        <w:rPr>
          <w:sz w:val="22"/>
          <w:szCs w:val="22"/>
        </w:rPr>
        <w:t>Together with 18,649,046 ordinary shares of RM1.00 each (64.20%) currentl</w:t>
      </w:r>
      <w:r>
        <w:rPr>
          <w:sz w:val="22"/>
          <w:szCs w:val="22"/>
        </w:rPr>
        <w:t>y being held</w:t>
      </w:r>
      <w:proofErr w:type="gramStart"/>
      <w:r>
        <w:rPr>
          <w:sz w:val="22"/>
          <w:szCs w:val="22"/>
        </w:rPr>
        <w:t>,  the</w:t>
      </w:r>
      <w:proofErr w:type="gramEnd"/>
      <w:r>
        <w:rPr>
          <w:sz w:val="22"/>
          <w:szCs w:val="22"/>
        </w:rPr>
        <w:t xml:space="preserve"> Company</w:t>
      </w:r>
      <w:r w:rsidR="0012447E">
        <w:rPr>
          <w:sz w:val="22"/>
          <w:szCs w:val="22"/>
        </w:rPr>
        <w:t xml:space="preserve"> now holds 80% equity interest in WCE.</w:t>
      </w:r>
    </w:p>
    <w:p w:rsidR="0012447E" w:rsidRDefault="0012447E" w:rsidP="005E491D">
      <w:pPr>
        <w:tabs>
          <w:tab w:val="left" w:pos="360"/>
        </w:tabs>
        <w:spacing w:line="180" w:lineRule="exact"/>
        <w:jc w:val="both"/>
        <w:rPr>
          <w:b/>
          <w:sz w:val="22"/>
          <w:szCs w:val="22"/>
          <w:lang w:val="en-GB"/>
        </w:rPr>
      </w:pPr>
    </w:p>
    <w:p w:rsidR="0012447E" w:rsidRDefault="0012447E" w:rsidP="005E491D">
      <w:pPr>
        <w:tabs>
          <w:tab w:val="left" w:pos="360"/>
        </w:tabs>
        <w:spacing w:line="180" w:lineRule="exact"/>
        <w:jc w:val="both"/>
        <w:rPr>
          <w:b/>
          <w:sz w:val="22"/>
          <w:szCs w:val="22"/>
          <w:lang w:val="en-GB"/>
        </w:rPr>
      </w:pPr>
    </w:p>
    <w:p w:rsidR="0012447E" w:rsidRPr="00743520" w:rsidRDefault="0012447E" w:rsidP="00135C8C">
      <w:pPr>
        <w:tabs>
          <w:tab w:val="left" w:pos="360"/>
        </w:tabs>
        <w:jc w:val="both"/>
        <w:rPr>
          <w:b/>
          <w:sz w:val="22"/>
          <w:szCs w:val="22"/>
          <w:lang w:val="en-GB"/>
        </w:rPr>
      </w:pPr>
      <w:r w:rsidRPr="00743520">
        <w:rPr>
          <w:b/>
          <w:sz w:val="22"/>
          <w:szCs w:val="22"/>
          <w:lang w:val="en-GB"/>
        </w:rPr>
        <w:t>A1</w:t>
      </w:r>
      <w:r>
        <w:rPr>
          <w:b/>
          <w:sz w:val="22"/>
          <w:szCs w:val="22"/>
          <w:lang w:val="en-GB"/>
        </w:rPr>
        <w:t>0</w:t>
      </w:r>
      <w:r w:rsidRPr="00743520">
        <w:rPr>
          <w:b/>
          <w:sz w:val="22"/>
          <w:szCs w:val="22"/>
          <w:lang w:val="en-GB"/>
        </w:rPr>
        <w:t>.</w:t>
      </w:r>
      <w:r w:rsidRPr="00743520">
        <w:rPr>
          <w:b/>
          <w:sz w:val="22"/>
          <w:szCs w:val="22"/>
          <w:lang w:val="en-GB"/>
        </w:rPr>
        <w:tab/>
      </w:r>
      <w:r w:rsidRPr="00743520">
        <w:rPr>
          <w:b/>
          <w:bCs/>
          <w:sz w:val="22"/>
          <w:szCs w:val="22"/>
          <w:lang w:val="en-GB"/>
        </w:rPr>
        <w:t xml:space="preserve">Changes in the Composition of </w:t>
      </w:r>
      <w:r>
        <w:rPr>
          <w:b/>
          <w:bCs/>
          <w:sz w:val="22"/>
          <w:szCs w:val="22"/>
          <w:lang w:val="en-GB"/>
        </w:rPr>
        <w:t>t</w:t>
      </w:r>
      <w:r w:rsidRPr="00743520">
        <w:rPr>
          <w:b/>
          <w:bCs/>
          <w:sz w:val="22"/>
          <w:szCs w:val="22"/>
          <w:lang w:val="en-GB"/>
        </w:rPr>
        <w:t>he Group</w:t>
      </w:r>
      <w:r w:rsidRPr="00743520">
        <w:rPr>
          <w:b/>
          <w:sz w:val="22"/>
          <w:szCs w:val="22"/>
          <w:lang w:val="en-GB"/>
        </w:rPr>
        <w:t xml:space="preserve">  </w:t>
      </w:r>
    </w:p>
    <w:p w:rsidR="0012447E" w:rsidRPr="00743520" w:rsidRDefault="0012447E" w:rsidP="00135C8C">
      <w:pPr>
        <w:tabs>
          <w:tab w:val="left" w:pos="360"/>
        </w:tabs>
        <w:ind w:left="360"/>
        <w:jc w:val="both"/>
        <w:rPr>
          <w:sz w:val="22"/>
          <w:szCs w:val="22"/>
        </w:rPr>
      </w:pPr>
    </w:p>
    <w:p w:rsidR="0012447E" w:rsidRPr="000D13F0" w:rsidRDefault="0012447E" w:rsidP="000D13F0">
      <w:pPr>
        <w:tabs>
          <w:tab w:val="left" w:pos="360"/>
        </w:tabs>
        <w:ind w:left="720"/>
        <w:jc w:val="both"/>
        <w:rPr>
          <w:sz w:val="22"/>
          <w:szCs w:val="22"/>
        </w:rPr>
      </w:pPr>
      <w:r>
        <w:rPr>
          <w:sz w:val="22"/>
          <w:szCs w:val="22"/>
        </w:rPr>
        <w:t>T</w:t>
      </w:r>
      <w:r w:rsidRPr="00743520">
        <w:rPr>
          <w:sz w:val="22"/>
          <w:szCs w:val="22"/>
        </w:rPr>
        <w:t xml:space="preserve">here were no material changes in the composition of the Group for the current </w:t>
      </w:r>
      <w:r>
        <w:rPr>
          <w:sz w:val="22"/>
          <w:szCs w:val="22"/>
        </w:rPr>
        <w:t xml:space="preserve">year </w:t>
      </w:r>
      <w:r w:rsidRPr="00743520">
        <w:rPr>
          <w:sz w:val="22"/>
          <w:szCs w:val="22"/>
        </w:rPr>
        <w:t>quarte</w:t>
      </w:r>
      <w:r>
        <w:rPr>
          <w:sz w:val="22"/>
          <w:szCs w:val="22"/>
        </w:rPr>
        <w:t>r and financial year-to-date.</w:t>
      </w:r>
    </w:p>
    <w:p w:rsidR="0012447E" w:rsidRDefault="0012447E" w:rsidP="005E491D">
      <w:pPr>
        <w:tabs>
          <w:tab w:val="left" w:pos="360"/>
        </w:tabs>
        <w:spacing w:line="180" w:lineRule="exact"/>
        <w:jc w:val="both"/>
        <w:rPr>
          <w:b/>
          <w:sz w:val="22"/>
          <w:szCs w:val="22"/>
        </w:rPr>
      </w:pPr>
    </w:p>
    <w:p w:rsidR="0012447E" w:rsidRDefault="0012447E" w:rsidP="005E491D">
      <w:pPr>
        <w:tabs>
          <w:tab w:val="left" w:pos="360"/>
        </w:tabs>
        <w:spacing w:line="180" w:lineRule="exact"/>
        <w:jc w:val="both"/>
        <w:rPr>
          <w:b/>
          <w:sz w:val="22"/>
          <w:szCs w:val="22"/>
        </w:rPr>
      </w:pPr>
    </w:p>
    <w:p w:rsidR="0012447E" w:rsidRDefault="0012447E" w:rsidP="005E491D">
      <w:pPr>
        <w:tabs>
          <w:tab w:val="left" w:pos="360"/>
        </w:tabs>
        <w:spacing w:line="180" w:lineRule="exact"/>
        <w:jc w:val="both"/>
        <w:rPr>
          <w:b/>
          <w:sz w:val="22"/>
          <w:szCs w:val="22"/>
        </w:rPr>
      </w:pPr>
    </w:p>
    <w:p w:rsidR="0012447E" w:rsidRDefault="0012447E" w:rsidP="005E491D">
      <w:pPr>
        <w:tabs>
          <w:tab w:val="left" w:pos="360"/>
        </w:tabs>
        <w:spacing w:line="180" w:lineRule="exact"/>
        <w:jc w:val="both"/>
        <w:rPr>
          <w:b/>
          <w:sz w:val="22"/>
          <w:szCs w:val="22"/>
        </w:rPr>
      </w:pPr>
    </w:p>
    <w:p w:rsidR="0012447E" w:rsidRPr="00AD32B6" w:rsidRDefault="0012447E" w:rsidP="00332244">
      <w:pPr>
        <w:tabs>
          <w:tab w:val="left" w:pos="720"/>
          <w:tab w:val="right" w:pos="8640"/>
        </w:tabs>
        <w:rPr>
          <w:b/>
          <w:sz w:val="22"/>
          <w:szCs w:val="22"/>
        </w:rPr>
      </w:pPr>
      <w:r>
        <w:rPr>
          <w:b/>
          <w:sz w:val="22"/>
          <w:szCs w:val="22"/>
        </w:rPr>
        <w:t>A11.</w:t>
      </w:r>
      <w:r>
        <w:rPr>
          <w:b/>
          <w:sz w:val="22"/>
          <w:szCs w:val="22"/>
        </w:rPr>
        <w:tab/>
        <w:t>Contingent Liab</w:t>
      </w:r>
      <w:r w:rsidRPr="00AD32B6">
        <w:rPr>
          <w:b/>
          <w:sz w:val="22"/>
          <w:szCs w:val="22"/>
        </w:rPr>
        <w:t>ilities</w:t>
      </w:r>
    </w:p>
    <w:p w:rsidR="0012447E" w:rsidRDefault="0012447E" w:rsidP="00AD32B6">
      <w:pPr>
        <w:tabs>
          <w:tab w:val="left" w:pos="720"/>
          <w:tab w:val="right" w:pos="8640"/>
        </w:tabs>
        <w:ind w:left="720"/>
        <w:rPr>
          <w:sz w:val="22"/>
          <w:szCs w:val="22"/>
        </w:rPr>
      </w:pPr>
      <w:r>
        <w:rPr>
          <w:sz w:val="22"/>
          <w:szCs w:val="22"/>
        </w:rPr>
        <w:tab/>
      </w:r>
    </w:p>
    <w:p w:rsidR="0012447E" w:rsidRPr="00B07722" w:rsidRDefault="0012447E" w:rsidP="00AD32B6">
      <w:pPr>
        <w:tabs>
          <w:tab w:val="left" w:pos="720"/>
          <w:tab w:val="right" w:pos="8640"/>
        </w:tabs>
        <w:ind w:left="720"/>
        <w:jc w:val="both"/>
        <w:rPr>
          <w:sz w:val="22"/>
          <w:szCs w:val="22"/>
        </w:rPr>
      </w:pPr>
      <w:proofErr w:type="spellStart"/>
      <w:r w:rsidRPr="00B07722">
        <w:rPr>
          <w:sz w:val="22"/>
          <w:szCs w:val="22"/>
        </w:rPr>
        <w:t>Keuro</w:t>
      </w:r>
      <w:proofErr w:type="spellEnd"/>
      <w:r w:rsidRPr="00B07722">
        <w:rPr>
          <w:sz w:val="22"/>
          <w:szCs w:val="22"/>
        </w:rPr>
        <w:t xml:space="preserve"> Leasing </w:t>
      </w:r>
      <w:proofErr w:type="spellStart"/>
      <w:r w:rsidRPr="00B07722">
        <w:rPr>
          <w:sz w:val="22"/>
          <w:szCs w:val="22"/>
        </w:rPr>
        <w:t>Sdn</w:t>
      </w:r>
      <w:proofErr w:type="spellEnd"/>
      <w:r w:rsidRPr="00B07722">
        <w:rPr>
          <w:sz w:val="22"/>
          <w:szCs w:val="22"/>
        </w:rPr>
        <w:t xml:space="preserve"> </w:t>
      </w:r>
      <w:proofErr w:type="spellStart"/>
      <w:r w:rsidRPr="00B07722">
        <w:rPr>
          <w:sz w:val="22"/>
          <w:szCs w:val="22"/>
        </w:rPr>
        <w:t>Bhd</w:t>
      </w:r>
      <w:proofErr w:type="spellEnd"/>
      <w:r w:rsidRPr="00B07722">
        <w:rPr>
          <w:sz w:val="22"/>
          <w:szCs w:val="22"/>
        </w:rPr>
        <w:t xml:space="preserve"> (KLSB), a wholly-owned subsidiary was indebted to Bangkok Bank </w:t>
      </w:r>
      <w:proofErr w:type="spellStart"/>
      <w:r w:rsidRPr="00B07722">
        <w:rPr>
          <w:sz w:val="22"/>
          <w:szCs w:val="22"/>
        </w:rPr>
        <w:t>Berhad</w:t>
      </w:r>
      <w:proofErr w:type="spellEnd"/>
      <w:r w:rsidRPr="00B07722">
        <w:rPr>
          <w:sz w:val="22"/>
          <w:szCs w:val="22"/>
        </w:rPr>
        <w:t xml:space="preserve"> (BBB) for an amount of RM5.77 million.  The bank borrowing was secured against a piece of development land of 74.53 acres in </w:t>
      </w:r>
      <w:proofErr w:type="spellStart"/>
      <w:r w:rsidRPr="00B07722">
        <w:rPr>
          <w:sz w:val="22"/>
          <w:szCs w:val="22"/>
        </w:rPr>
        <w:t>Sepang</w:t>
      </w:r>
      <w:proofErr w:type="spellEnd"/>
      <w:r w:rsidRPr="00B07722">
        <w:rPr>
          <w:sz w:val="22"/>
          <w:szCs w:val="22"/>
        </w:rPr>
        <w:t xml:space="preserve">, Selangor (the Land) which belongs to associated company, </w:t>
      </w:r>
      <w:proofErr w:type="spellStart"/>
      <w:r w:rsidRPr="00B07722">
        <w:rPr>
          <w:sz w:val="22"/>
          <w:szCs w:val="22"/>
        </w:rPr>
        <w:t>Talam</w:t>
      </w:r>
      <w:proofErr w:type="spellEnd"/>
      <w:r w:rsidRPr="00B07722">
        <w:rPr>
          <w:sz w:val="22"/>
          <w:szCs w:val="22"/>
        </w:rPr>
        <w:t xml:space="preserve"> Corporation </w:t>
      </w:r>
      <w:proofErr w:type="spellStart"/>
      <w:r w:rsidRPr="00B07722">
        <w:rPr>
          <w:sz w:val="22"/>
          <w:szCs w:val="22"/>
        </w:rPr>
        <w:t>Berhad</w:t>
      </w:r>
      <w:proofErr w:type="spellEnd"/>
      <w:r w:rsidRPr="00B07722">
        <w:rPr>
          <w:sz w:val="22"/>
          <w:szCs w:val="22"/>
        </w:rPr>
        <w:t xml:space="preserve"> (</w:t>
      </w:r>
      <w:proofErr w:type="spellStart"/>
      <w:r w:rsidRPr="00B07722">
        <w:rPr>
          <w:sz w:val="22"/>
          <w:szCs w:val="22"/>
        </w:rPr>
        <w:t>Talam</w:t>
      </w:r>
      <w:proofErr w:type="spellEnd"/>
      <w:r w:rsidRPr="00B07722">
        <w:rPr>
          <w:sz w:val="22"/>
          <w:szCs w:val="22"/>
        </w:rPr>
        <w:t xml:space="preserve">).  The Land, valued at RM48.70 million, was part and parcel of properties sold by </w:t>
      </w:r>
      <w:proofErr w:type="spellStart"/>
      <w:r w:rsidRPr="00B07722">
        <w:rPr>
          <w:sz w:val="22"/>
          <w:szCs w:val="22"/>
        </w:rPr>
        <w:t>Talam</w:t>
      </w:r>
      <w:proofErr w:type="spellEnd"/>
      <w:r w:rsidRPr="00B07722">
        <w:rPr>
          <w:sz w:val="22"/>
          <w:szCs w:val="22"/>
        </w:rPr>
        <w:t xml:space="preserve"> to a creditor under an agreement entered into on March 2010.  Despite its awareness of this agreement, BBB, had on 7 September 2010, proceeded to auction the Land to a purchaser for RM15 million, thus giving rise to a potential loss of RM33.70 million to KLSB, should </w:t>
      </w:r>
      <w:proofErr w:type="spellStart"/>
      <w:r w:rsidRPr="00B07722">
        <w:rPr>
          <w:sz w:val="22"/>
          <w:szCs w:val="22"/>
        </w:rPr>
        <w:t>Talam</w:t>
      </w:r>
      <w:proofErr w:type="spellEnd"/>
      <w:r w:rsidRPr="00B07722">
        <w:rPr>
          <w:sz w:val="22"/>
          <w:szCs w:val="22"/>
        </w:rPr>
        <w:t xml:space="preserve"> be unsuccessful in recovering the Land which is currently being pursued vigorously through court actions taken against purchaser for auction done in bad faith and, against BBB, for having wrongfully auctioned the Land.</w:t>
      </w:r>
    </w:p>
    <w:p w:rsidR="0012447E" w:rsidRPr="00734F3F" w:rsidRDefault="0012447E" w:rsidP="00AD32B6">
      <w:pPr>
        <w:tabs>
          <w:tab w:val="left" w:pos="720"/>
          <w:tab w:val="right" w:pos="8640"/>
        </w:tabs>
        <w:ind w:left="720"/>
        <w:jc w:val="both"/>
        <w:rPr>
          <w:sz w:val="22"/>
          <w:szCs w:val="22"/>
          <w:highlight w:val="yellow"/>
        </w:rPr>
      </w:pPr>
    </w:p>
    <w:p w:rsidR="0012447E" w:rsidRDefault="0012447E" w:rsidP="00AD32B6">
      <w:pPr>
        <w:tabs>
          <w:tab w:val="left" w:pos="720"/>
          <w:tab w:val="right" w:pos="8640"/>
        </w:tabs>
        <w:ind w:left="720"/>
        <w:jc w:val="both"/>
        <w:rPr>
          <w:sz w:val="22"/>
          <w:szCs w:val="22"/>
        </w:rPr>
      </w:pPr>
      <w:r w:rsidRPr="00B07722">
        <w:rPr>
          <w:sz w:val="22"/>
          <w:szCs w:val="22"/>
        </w:rPr>
        <w:t xml:space="preserve">Based on counsel’s advice, the Board believes </w:t>
      </w:r>
      <w:proofErr w:type="spellStart"/>
      <w:r w:rsidRPr="00B07722">
        <w:rPr>
          <w:sz w:val="22"/>
          <w:szCs w:val="22"/>
        </w:rPr>
        <w:t>Talam</w:t>
      </w:r>
      <w:proofErr w:type="spellEnd"/>
      <w:r w:rsidRPr="00B07722">
        <w:rPr>
          <w:sz w:val="22"/>
          <w:szCs w:val="22"/>
        </w:rPr>
        <w:t xml:space="preserve"> has a reasonably good and valid claim in the legal actions being taken.</w:t>
      </w:r>
    </w:p>
    <w:p w:rsidR="0012447E" w:rsidRDefault="0012447E" w:rsidP="00AD32B6">
      <w:pPr>
        <w:tabs>
          <w:tab w:val="left" w:pos="720"/>
          <w:tab w:val="right" w:pos="8640"/>
        </w:tabs>
        <w:ind w:left="720"/>
        <w:jc w:val="both"/>
        <w:rPr>
          <w:sz w:val="22"/>
          <w:szCs w:val="22"/>
        </w:rPr>
      </w:pPr>
    </w:p>
    <w:p w:rsidR="0012447E" w:rsidRDefault="0012447E" w:rsidP="00AD32B6">
      <w:pPr>
        <w:tabs>
          <w:tab w:val="left" w:pos="720"/>
          <w:tab w:val="right" w:pos="8640"/>
        </w:tabs>
        <w:ind w:left="720"/>
        <w:jc w:val="both"/>
        <w:rPr>
          <w:sz w:val="22"/>
          <w:szCs w:val="22"/>
        </w:rPr>
      </w:pPr>
    </w:p>
    <w:p w:rsidR="0012447E" w:rsidRDefault="0012447E" w:rsidP="00AD32B6">
      <w:pPr>
        <w:tabs>
          <w:tab w:val="left" w:pos="720"/>
          <w:tab w:val="right" w:pos="8640"/>
        </w:tabs>
        <w:ind w:left="720"/>
        <w:jc w:val="both"/>
        <w:rPr>
          <w:sz w:val="22"/>
          <w:szCs w:val="22"/>
        </w:rPr>
      </w:pPr>
    </w:p>
    <w:p w:rsidR="0012447E" w:rsidRDefault="0012447E" w:rsidP="00AD32B6">
      <w:pPr>
        <w:tabs>
          <w:tab w:val="left" w:pos="720"/>
          <w:tab w:val="right" w:pos="8640"/>
        </w:tabs>
        <w:ind w:left="720"/>
        <w:jc w:val="both"/>
        <w:rPr>
          <w:sz w:val="22"/>
          <w:szCs w:val="22"/>
        </w:rPr>
      </w:pPr>
    </w:p>
    <w:p w:rsidR="0012447E" w:rsidRDefault="0012447E" w:rsidP="00AD32B6">
      <w:pPr>
        <w:tabs>
          <w:tab w:val="left" w:pos="720"/>
          <w:tab w:val="right" w:pos="8640"/>
        </w:tabs>
        <w:ind w:left="720"/>
        <w:jc w:val="both"/>
        <w:rPr>
          <w:sz w:val="22"/>
          <w:szCs w:val="22"/>
        </w:rPr>
      </w:pPr>
    </w:p>
    <w:p w:rsidR="0012447E" w:rsidRDefault="0012447E" w:rsidP="00AD32B6">
      <w:pPr>
        <w:tabs>
          <w:tab w:val="left" w:pos="720"/>
          <w:tab w:val="right" w:pos="8640"/>
        </w:tabs>
        <w:ind w:left="720"/>
        <w:jc w:val="both"/>
        <w:rPr>
          <w:sz w:val="22"/>
          <w:szCs w:val="22"/>
        </w:rPr>
      </w:pPr>
    </w:p>
    <w:p w:rsidR="0012447E" w:rsidRDefault="0012447E" w:rsidP="00AD32B6">
      <w:pPr>
        <w:tabs>
          <w:tab w:val="left" w:pos="720"/>
          <w:tab w:val="right" w:pos="8640"/>
        </w:tabs>
        <w:ind w:left="720"/>
        <w:jc w:val="both"/>
        <w:rPr>
          <w:sz w:val="22"/>
          <w:szCs w:val="22"/>
        </w:rPr>
      </w:pPr>
    </w:p>
    <w:p w:rsidR="0012447E" w:rsidRDefault="0012447E" w:rsidP="00AD32B6">
      <w:pPr>
        <w:tabs>
          <w:tab w:val="left" w:pos="720"/>
          <w:tab w:val="right" w:pos="8640"/>
        </w:tabs>
        <w:ind w:left="720"/>
        <w:jc w:val="both"/>
        <w:rPr>
          <w:sz w:val="22"/>
          <w:szCs w:val="22"/>
        </w:rPr>
      </w:pPr>
    </w:p>
    <w:p w:rsidR="0012447E" w:rsidRPr="00743520" w:rsidRDefault="0012447E" w:rsidP="00A32211">
      <w:pPr>
        <w:pStyle w:val="BodyTextIndent"/>
        <w:ind w:left="0"/>
        <w:jc w:val="both"/>
        <w:rPr>
          <w:b/>
          <w:sz w:val="22"/>
          <w:szCs w:val="22"/>
          <w:u w:val="single"/>
        </w:rPr>
      </w:pPr>
      <w:r w:rsidRPr="00743520">
        <w:rPr>
          <w:b/>
          <w:sz w:val="22"/>
          <w:szCs w:val="22"/>
          <w:u w:val="single"/>
        </w:rPr>
        <w:lastRenderedPageBreak/>
        <w:t xml:space="preserve">PART </w:t>
      </w:r>
      <w:proofErr w:type="gramStart"/>
      <w:r w:rsidRPr="00743520">
        <w:rPr>
          <w:b/>
          <w:sz w:val="22"/>
          <w:szCs w:val="22"/>
          <w:u w:val="single"/>
        </w:rPr>
        <w:t>B :</w:t>
      </w:r>
      <w:proofErr w:type="gramEnd"/>
      <w:r w:rsidRPr="00743520">
        <w:rPr>
          <w:b/>
          <w:sz w:val="22"/>
          <w:szCs w:val="22"/>
          <w:u w:val="single"/>
        </w:rPr>
        <w:t xml:space="preserve"> EXPLANATORY NOTES PURSUANT TO APPENDIX 9B OF THE LISTING REQUIREMENTS OF </w:t>
      </w:r>
      <w:smartTag w:uri="urn:schemas-microsoft-com:office:smarttags" w:element="City">
        <w:r w:rsidRPr="00743520">
          <w:rPr>
            <w:b/>
            <w:sz w:val="22"/>
            <w:szCs w:val="22"/>
            <w:u w:val="single"/>
          </w:rPr>
          <w:t>BURSA</w:t>
        </w:r>
      </w:smartTag>
      <w:r w:rsidRPr="00743520">
        <w:rPr>
          <w:b/>
          <w:sz w:val="22"/>
          <w:szCs w:val="22"/>
          <w:u w:val="single"/>
        </w:rPr>
        <w:t xml:space="preserve"> </w:t>
      </w:r>
      <w:smartTag w:uri="urn:schemas-microsoft-com:office:smarttags" w:element="country-region">
        <w:smartTag w:uri="urn:schemas-microsoft-com:office:smarttags" w:element="place">
          <w:r w:rsidRPr="00743520">
            <w:rPr>
              <w:b/>
              <w:sz w:val="22"/>
              <w:szCs w:val="22"/>
              <w:u w:val="single"/>
            </w:rPr>
            <w:t>MALAYSIA</w:t>
          </w:r>
        </w:smartTag>
      </w:smartTag>
      <w:r w:rsidRPr="00743520">
        <w:rPr>
          <w:b/>
          <w:sz w:val="22"/>
          <w:szCs w:val="22"/>
          <w:u w:val="single"/>
        </w:rPr>
        <w:t xml:space="preserve"> SECURITIES BERHAD</w:t>
      </w:r>
    </w:p>
    <w:p w:rsidR="0012447E" w:rsidRDefault="0012447E" w:rsidP="00C91ABB">
      <w:pPr>
        <w:jc w:val="both"/>
        <w:rPr>
          <w:b/>
          <w:sz w:val="22"/>
          <w:szCs w:val="22"/>
          <w:lang w:val="en-GB"/>
        </w:rPr>
      </w:pPr>
    </w:p>
    <w:p w:rsidR="0012447E" w:rsidRDefault="0012447E" w:rsidP="00C91ABB">
      <w:pPr>
        <w:jc w:val="both"/>
        <w:rPr>
          <w:b/>
          <w:sz w:val="22"/>
          <w:szCs w:val="22"/>
          <w:lang w:val="en-GB"/>
        </w:rPr>
      </w:pPr>
      <w:r w:rsidRPr="007C795A">
        <w:rPr>
          <w:b/>
          <w:sz w:val="22"/>
          <w:szCs w:val="22"/>
          <w:lang w:val="en-GB"/>
        </w:rPr>
        <w:t>B1.</w:t>
      </w:r>
      <w:r w:rsidRPr="007C795A">
        <w:rPr>
          <w:b/>
          <w:sz w:val="22"/>
          <w:szCs w:val="22"/>
          <w:lang w:val="en-GB"/>
        </w:rPr>
        <w:tab/>
        <w:t xml:space="preserve">Review of Performance </w:t>
      </w:r>
    </w:p>
    <w:p w:rsidR="0012447E" w:rsidRDefault="0012447E" w:rsidP="00C91ABB">
      <w:pPr>
        <w:jc w:val="both"/>
        <w:rPr>
          <w:b/>
          <w:sz w:val="22"/>
          <w:szCs w:val="22"/>
          <w:lang w:val="en-GB"/>
        </w:rPr>
      </w:pPr>
    </w:p>
    <w:p w:rsidR="0012447E" w:rsidRDefault="0012447E" w:rsidP="00C91ABB">
      <w:pPr>
        <w:jc w:val="both"/>
        <w:rPr>
          <w:b/>
          <w:sz w:val="22"/>
          <w:szCs w:val="22"/>
          <w:lang w:val="en-GB"/>
        </w:rPr>
      </w:pPr>
    </w:p>
    <w:p w:rsidR="0012447E" w:rsidRDefault="0012447E" w:rsidP="00C91ABB">
      <w:pPr>
        <w:jc w:val="both"/>
        <w:rPr>
          <w:b/>
          <w:sz w:val="22"/>
          <w:szCs w:val="22"/>
          <w:lang w:val="en-GB"/>
        </w:rPr>
      </w:pPr>
    </w:p>
    <w:p w:rsidR="0012447E" w:rsidRPr="00CF49B5" w:rsidRDefault="0012447E" w:rsidP="00CF49B5">
      <w:pPr>
        <w:pStyle w:val="ListParagraph"/>
        <w:numPr>
          <w:ilvl w:val="0"/>
          <w:numId w:val="20"/>
        </w:numPr>
        <w:jc w:val="both"/>
        <w:rPr>
          <w:b/>
          <w:sz w:val="22"/>
          <w:szCs w:val="22"/>
          <w:lang w:val="en-GB"/>
        </w:rPr>
      </w:pPr>
      <w:r>
        <w:rPr>
          <w:b/>
          <w:sz w:val="22"/>
          <w:szCs w:val="22"/>
          <w:lang w:val="en-GB"/>
        </w:rPr>
        <w:t>Segmental Information</w:t>
      </w:r>
    </w:p>
    <w:p w:rsidR="0012447E" w:rsidRPr="00D41241" w:rsidRDefault="0012447E" w:rsidP="00C91ABB">
      <w:pPr>
        <w:jc w:val="both"/>
        <w:rPr>
          <w:b/>
          <w:lang w:val="en-GB"/>
        </w:rPr>
      </w:pPr>
    </w:p>
    <w:tbl>
      <w:tblPr>
        <w:tblW w:w="9840" w:type="dxa"/>
        <w:tblInd w:w="720" w:type="dxa"/>
        <w:tblLayout w:type="fixed"/>
        <w:tblLook w:val="0000"/>
      </w:tblPr>
      <w:tblGrid>
        <w:gridCol w:w="1520"/>
        <w:gridCol w:w="136"/>
        <w:gridCol w:w="851"/>
        <w:gridCol w:w="992"/>
        <w:gridCol w:w="992"/>
        <w:gridCol w:w="993"/>
        <w:gridCol w:w="992"/>
        <w:gridCol w:w="992"/>
        <w:gridCol w:w="992"/>
        <w:gridCol w:w="898"/>
        <w:gridCol w:w="246"/>
        <w:gridCol w:w="236"/>
      </w:tblGrid>
      <w:tr w:rsidR="0012447E" w:rsidRPr="00D41241" w:rsidTr="00D73872">
        <w:trPr>
          <w:gridAfter w:val="2"/>
          <w:wAfter w:w="482" w:type="dxa"/>
        </w:trPr>
        <w:tc>
          <w:tcPr>
            <w:tcW w:w="1656" w:type="dxa"/>
            <w:gridSpan w:val="2"/>
          </w:tcPr>
          <w:p w:rsidR="0012447E" w:rsidRPr="00D41241" w:rsidRDefault="0012447E" w:rsidP="00D73872">
            <w:pPr>
              <w:pStyle w:val="BodyTextIndent"/>
              <w:ind w:left="0"/>
              <w:jc w:val="both"/>
            </w:pPr>
          </w:p>
        </w:tc>
        <w:tc>
          <w:tcPr>
            <w:tcW w:w="3828" w:type="dxa"/>
            <w:gridSpan w:val="4"/>
          </w:tcPr>
          <w:p w:rsidR="0012447E" w:rsidRPr="00D73872" w:rsidRDefault="0012447E" w:rsidP="00D73872">
            <w:pPr>
              <w:pStyle w:val="BodyTextIndent"/>
              <w:ind w:left="0"/>
              <w:jc w:val="center"/>
              <w:rPr>
                <w:b/>
              </w:rPr>
            </w:pPr>
            <w:r w:rsidRPr="00D73872">
              <w:rPr>
                <w:b/>
              </w:rPr>
              <w:t>Current quarter</w:t>
            </w:r>
          </w:p>
        </w:tc>
        <w:tc>
          <w:tcPr>
            <w:tcW w:w="3874" w:type="dxa"/>
            <w:gridSpan w:val="4"/>
            <w:tcBorders>
              <w:bottom w:val="single" w:sz="8" w:space="0" w:color="auto"/>
            </w:tcBorders>
          </w:tcPr>
          <w:p w:rsidR="0012447E" w:rsidRPr="00D73872" w:rsidRDefault="0012447E" w:rsidP="00D73872">
            <w:pPr>
              <w:pStyle w:val="BodyTextIndent"/>
              <w:ind w:left="0"/>
              <w:jc w:val="center"/>
              <w:rPr>
                <w:b/>
              </w:rPr>
            </w:pPr>
            <w:r w:rsidRPr="00D73872">
              <w:rPr>
                <w:b/>
              </w:rPr>
              <w:t>Cumulative quarters</w:t>
            </w:r>
          </w:p>
        </w:tc>
      </w:tr>
      <w:tr w:rsidR="0012447E" w:rsidRPr="00D41241" w:rsidTr="00D73872">
        <w:trPr>
          <w:gridAfter w:val="2"/>
          <w:wAfter w:w="482" w:type="dxa"/>
        </w:trPr>
        <w:tc>
          <w:tcPr>
            <w:tcW w:w="1520" w:type="dxa"/>
          </w:tcPr>
          <w:p w:rsidR="0012447E" w:rsidRPr="00D41241" w:rsidRDefault="0012447E" w:rsidP="00D73872">
            <w:pPr>
              <w:pStyle w:val="BodyTextIndent"/>
              <w:ind w:left="0"/>
              <w:jc w:val="both"/>
            </w:pPr>
          </w:p>
        </w:tc>
        <w:tc>
          <w:tcPr>
            <w:tcW w:w="987" w:type="dxa"/>
            <w:gridSpan w:val="2"/>
            <w:tcBorders>
              <w:top w:val="single" w:sz="8" w:space="0" w:color="auto"/>
            </w:tcBorders>
          </w:tcPr>
          <w:p w:rsidR="0012447E" w:rsidRPr="00D73872" w:rsidRDefault="0012447E" w:rsidP="00D73872">
            <w:pPr>
              <w:pStyle w:val="BodyTextIndent"/>
              <w:ind w:left="0"/>
              <w:jc w:val="center"/>
              <w:rPr>
                <w:b/>
              </w:rPr>
            </w:pPr>
            <w:r w:rsidRPr="00D73872">
              <w:rPr>
                <w:b/>
              </w:rPr>
              <w:t>2012</w:t>
            </w:r>
          </w:p>
        </w:tc>
        <w:tc>
          <w:tcPr>
            <w:tcW w:w="992" w:type="dxa"/>
            <w:tcBorders>
              <w:top w:val="single" w:sz="8" w:space="0" w:color="auto"/>
            </w:tcBorders>
          </w:tcPr>
          <w:p w:rsidR="0012447E" w:rsidRPr="00D73872" w:rsidRDefault="0012447E" w:rsidP="00D73872">
            <w:pPr>
              <w:pStyle w:val="BodyTextIndent"/>
              <w:ind w:left="0"/>
              <w:jc w:val="center"/>
              <w:rPr>
                <w:b/>
              </w:rPr>
            </w:pPr>
            <w:r w:rsidRPr="00D73872">
              <w:rPr>
                <w:b/>
              </w:rPr>
              <w:t>2011</w:t>
            </w:r>
          </w:p>
        </w:tc>
        <w:tc>
          <w:tcPr>
            <w:tcW w:w="1985" w:type="dxa"/>
            <w:gridSpan w:val="2"/>
            <w:tcBorders>
              <w:top w:val="single" w:sz="8" w:space="0" w:color="auto"/>
            </w:tcBorders>
          </w:tcPr>
          <w:p w:rsidR="0012447E" w:rsidRPr="00D73872" w:rsidRDefault="0012447E" w:rsidP="00D73872">
            <w:pPr>
              <w:pStyle w:val="BodyTextIndent"/>
              <w:ind w:left="0"/>
              <w:jc w:val="center"/>
              <w:rPr>
                <w:b/>
              </w:rPr>
            </w:pPr>
            <w:r w:rsidRPr="00D73872">
              <w:rPr>
                <w:b/>
              </w:rPr>
              <w:t>Changes</w:t>
            </w:r>
          </w:p>
        </w:tc>
        <w:tc>
          <w:tcPr>
            <w:tcW w:w="992" w:type="dxa"/>
            <w:tcBorders>
              <w:top w:val="single" w:sz="8" w:space="0" w:color="auto"/>
            </w:tcBorders>
          </w:tcPr>
          <w:p w:rsidR="0012447E" w:rsidRPr="00D73872" w:rsidRDefault="0012447E" w:rsidP="00D73872">
            <w:pPr>
              <w:pStyle w:val="BodyTextIndent"/>
              <w:ind w:left="0"/>
              <w:jc w:val="center"/>
              <w:rPr>
                <w:b/>
              </w:rPr>
            </w:pPr>
            <w:r w:rsidRPr="00D73872">
              <w:rPr>
                <w:b/>
              </w:rPr>
              <w:t>2012</w:t>
            </w:r>
          </w:p>
        </w:tc>
        <w:tc>
          <w:tcPr>
            <w:tcW w:w="992" w:type="dxa"/>
            <w:tcBorders>
              <w:top w:val="single" w:sz="8" w:space="0" w:color="auto"/>
            </w:tcBorders>
          </w:tcPr>
          <w:p w:rsidR="0012447E" w:rsidRPr="00D73872" w:rsidRDefault="0012447E" w:rsidP="00D73872">
            <w:pPr>
              <w:pStyle w:val="BodyTextIndent"/>
              <w:ind w:left="0"/>
              <w:jc w:val="center"/>
              <w:rPr>
                <w:b/>
              </w:rPr>
            </w:pPr>
            <w:r w:rsidRPr="00D73872">
              <w:rPr>
                <w:b/>
              </w:rPr>
              <w:t>2011</w:t>
            </w:r>
          </w:p>
        </w:tc>
        <w:tc>
          <w:tcPr>
            <w:tcW w:w="1890" w:type="dxa"/>
            <w:gridSpan w:val="2"/>
            <w:tcBorders>
              <w:top w:val="single" w:sz="8" w:space="0" w:color="auto"/>
            </w:tcBorders>
          </w:tcPr>
          <w:p w:rsidR="0012447E" w:rsidRPr="00D73872" w:rsidRDefault="0012447E" w:rsidP="00D73872">
            <w:pPr>
              <w:pStyle w:val="BodyTextIndent"/>
              <w:ind w:left="0"/>
              <w:jc w:val="center"/>
              <w:rPr>
                <w:b/>
              </w:rPr>
            </w:pPr>
            <w:r w:rsidRPr="00D73872">
              <w:rPr>
                <w:b/>
              </w:rPr>
              <w:t>Changes</w:t>
            </w:r>
          </w:p>
        </w:tc>
      </w:tr>
      <w:tr w:rsidR="0012447E" w:rsidRPr="00D41241" w:rsidTr="00D73872">
        <w:trPr>
          <w:gridAfter w:val="2"/>
          <w:wAfter w:w="482" w:type="dxa"/>
        </w:trPr>
        <w:tc>
          <w:tcPr>
            <w:tcW w:w="1520" w:type="dxa"/>
          </w:tcPr>
          <w:p w:rsidR="0012447E" w:rsidRPr="00D73872" w:rsidRDefault="0012447E" w:rsidP="00D73872">
            <w:pPr>
              <w:pStyle w:val="BodyTextIndent"/>
              <w:ind w:left="0"/>
              <w:jc w:val="both"/>
              <w:rPr>
                <w:b/>
                <w:u w:val="single"/>
              </w:rPr>
            </w:pPr>
            <w:r w:rsidRPr="00D73872">
              <w:rPr>
                <w:b/>
                <w:u w:val="single"/>
              </w:rPr>
              <w:t>Segmental Revenue</w:t>
            </w:r>
          </w:p>
        </w:tc>
        <w:tc>
          <w:tcPr>
            <w:tcW w:w="987" w:type="dxa"/>
            <w:gridSpan w:val="2"/>
          </w:tcPr>
          <w:p w:rsidR="0012447E" w:rsidRPr="00D73872" w:rsidRDefault="0012447E" w:rsidP="00D73872">
            <w:pPr>
              <w:pStyle w:val="BodyTextIndent"/>
              <w:ind w:left="0"/>
              <w:jc w:val="center"/>
              <w:rPr>
                <w:b/>
              </w:rPr>
            </w:pPr>
            <w:r w:rsidRPr="00D73872">
              <w:rPr>
                <w:b/>
              </w:rPr>
              <w:t>RM’000</w:t>
            </w:r>
          </w:p>
        </w:tc>
        <w:tc>
          <w:tcPr>
            <w:tcW w:w="992" w:type="dxa"/>
          </w:tcPr>
          <w:p w:rsidR="0012447E" w:rsidRPr="00D73872" w:rsidRDefault="0012447E" w:rsidP="00D73872">
            <w:pPr>
              <w:pStyle w:val="BodyTextIndent"/>
              <w:ind w:left="0"/>
              <w:jc w:val="center"/>
              <w:rPr>
                <w:b/>
              </w:rPr>
            </w:pPr>
            <w:r w:rsidRPr="00D73872">
              <w:rPr>
                <w:b/>
              </w:rPr>
              <w:t>RM’000</w:t>
            </w:r>
          </w:p>
        </w:tc>
        <w:tc>
          <w:tcPr>
            <w:tcW w:w="992" w:type="dxa"/>
          </w:tcPr>
          <w:p w:rsidR="0012447E" w:rsidRPr="00D73872" w:rsidRDefault="0012447E" w:rsidP="00D73872">
            <w:pPr>
              <w:pStyle w:val="BodyTextIndent"/>
              <w:ind w:left="0"/>
              <w:jc w:val="center"/>
              <w:rPr>
                <w:b/>
              </w:rPr>
            </w:pPr>
            <w:r w:rsidRPr="00D73872">
              <w:rPr>
                <w:b/>
              </w:rPr>
              <w:t>RM’000</w:t>
            </w:r>
          </w:p>
        </w:tc>
        <w:tc>
          <w:tcPr>
            <w:tcW w:w="993" w:type="dxa"/>
          </w:tcPr>
          <w:p w:rsidR="0012447E" w:rsidRPr="00D73872" w:rsidRDefault="0012447E" w:rsidP="00D73872">
            <w:pPr>
              <w:pStyle w:val="BodyTextIndent"/>
              <w:ind w:left="0"/>
              <w:jc w:val="center"/>
              <w:rPr>
                <w:b/>
              </w:rPr>
            </w:pPr>
            <w:r w:rsidRPr="00D73872">
              <w:rPr>
                <w:b/>
              </w:rPr>
              <w:t>%</w:t>
            </w:r>
          </w:p>
        </w:tc>
        <w:tc>
          <w:tcPr>
            <w:tcW w:w="992" w:type="dxa"/>
          </w:tcPr>
          <w:p w:rsidR="0012447E" w:rsidRPr="00D73872" w:rsidRDefault="0012447E" w:rsidP="00D73872">
            <w:pPr>
              <w:pStyle w:val="BodyTextIndent"/>
              <w:ind w:left="0"/>
              <w:jc w:val="center"/>
              <w:rPr>
                <w:b/>
              </w:rPr>
            </w:pPr>
            <w:r w:rsidRPr="00D73872">
              <w:rPr>
                <w:b/>
              </w:rPr>
              <w:t>RM’000</w:t>
            </w:r>
          </w:p>
        </w:tc>
        <w:tc>
          <w:tcPr>
            <w:tcW w:w="992" w:type="dxa"/>
          </w:tcPr>
          <w:p w:rsidR="0012447E" w:rsidRPr="00D73872" w:rsidRDefault="0012447E" w:rsidP="00D73872">
            <w:pPr>
              <w:pStyle w:val="BodyTextIndent"/>
              <w:ind w:left="0"/>
              <w:jc w:val="center"/>
              <w:rPr>
                <w:b/>
              </w:rPr>
            </w:pPr>
            <w:r w:rsidRPr="00D73872">
              <w:rPr>
                <w:b/>
              </w:rPr>
              <w:t>RM’000</w:t>
            </w:r>
          </w:p>
        </w:tc>
        <w:tc>
          <w:tcPr>
            <w:tcW w:w="992" w:type="dxa"/>
          </w:tcPr>
          <w:p w:rsidR="0012447E" w:rsidRPr="00D73872" w:rsidRDefault="0012447E" w:rsidP="00D73872">
            <w:pPr>
              <w:pStyle w:val="BodyTextIndent"/>
              <w:ind w:left="0"/>
              <w:jc w:val="center"/>
              <w:rPr>
                <w:b/>
              </w:rPr>
            </w:pPr>
            <w:r w:rsidRPr="00D73872">
              <w:rPr>
                <w:b/>
              </w:rPr>
              <w:t>RM’000</w:t>
            </w:r>
          </w:p>
        </w:tc>
        <w:tc>
          <w:tcPr>
            <w:tcW w:w="898" w:type="dxa"/>
          </w:tcPr>
          <w:p w:rsidR="0012447E" w:rsidRPr="00D73872" w:rsidRDefault="0012447E" w:rsidP="00D73872">
            <w:pPr>
              <w:pStyle w:val="BodyTextIndent"/>
              <w:ind w:left="0"/>
              <w:jc w:val="center"/>
              <w:rPr>
                <w:b/>
              </w:rPr>
            </w:pPr>
            <w:r w:rsidRPr="00D73872">
              <w:rPr>
                <w:b/>
              </w:rPr>
              <w:t>%</w:t>
            </w:r>
          </w:p>
        </w:tc>
      </w:tr>
      <w:tr w:rsidR="0012447E" w:rsidRPr="00D41241" w:rsidTr="00D73872">
        <w:trPr>
          <w:gridAfter w:val="2"/>
          <w:wAfter w:w="482" w:type="dxa"/>
        </w:trPr>
        <w:tc>
          <w:tcPr>
            <w:tcW w:w="1520" w:type="dxa"/>
          </w:tcPr>
          <w:p w:rsidR="0012447E" w:rsidRPr="00D41241" w:rsidRDefault="0012447E" w:rsidP="00D73872">
            <w:pPr>
              <w:pStyle w:val="BodyTextIndent"/>
              <w:ind w:left="0"/>
              <w:jc w:val="both"/>
            </w:pPr>
          </w:p>
        </w:tc>
        <w:tc>
          <w:tcPr>
            <w:tcW w:w="987" w:type="dxa"/>
            <w:gridSpan w:val="2"/>
          </w:tcPr>
          <w:p w:rsidR="0012447E" w:rsidRPr="00D41241" w:rsidRDefault="0012447E" w:rsidP="00D73872">
            <w:pPr>
              <w:pStyle w:val="BodyTextIndent"/>
              <w:ind w:left="0"/>
              <w:jc w:val="both"/>
            </w:pPr>
          </w:p>
        </w:tc>
        <w:tc>
          <w:tcPr>
            <w:tcW w:w="992" w:type="dxa"/>
          </w:tcPr>
          <w:p w:rsidR="0012447E" w:rsidRPr="00D41241" w:rsidRDefault="0012447E" w:rsidP="00D73872">
            <w:pPr>
              <w:pStyle w:val="BodyTextIndent"/>
              <w:ind w:left="0"/>
              <w:jc w:val="both"/>
            </w:pPr>
          </w:p>
        </w:tc>
        <w:tc>
          <w:tcPr>
            <w:tcW w:w="992" w:type="dxa"/>
          </w:tcPr>
          <w:p w:rsidR="0012447E" w:rsidRPr="00D41241" w:rsidRDefault="0012447E" w:rsidP="00D73872">
            <w:pPr>
              <w:pStyle w:val="BodyTextIndent"/>
              <w:ind w:left="0"/>
              <w:jc w:val="both"/>
            </w:pPr>
          </w:p>
        </w:tc>
        <w:tc>
          <w:tcPr>
            <w:tcW w:w="993" w:type="dxa"/>
          </w:tcPr>
          <w:p w:rsidR="0012447E" w:rsidRPr="00D41241" w:rsidRDefault="0012447E" w:rsidP="00D73872">
            <w:pPr>
              <w:pStyle w:val="BodyTextIndent"/>
              <w:ind w:left="0"/>
              <w:jc w:val="both"/>
            </w:pPr>
          </w:p>
        </w:tc>
        <w:tc>
          <w:tcPr>
            <w:tcW w:w="992" w:type="dxa"/>
          </w:tcPr>
          <w:p w:rsidR="0012447E" w:rsidRPr="00D41241" w:rsidRDefault="0012447E" w:rsidP="00D73872">
            <w:pPr>
              <w:pStyle w:val="BodyTextIndent"/>
              <w:ind w:left="0"/>
              <w:jc w:val="both"/>
            </w:pPr>
          </w:p>
        </w:tc>
        <w:tc>
          <w:tcPr>
            <w:tcW w:w="992" w:type="dxa"/>
          </w:tcPr>
          <w:p w:rsidR="0012447E" w:rsidRPr="00D41241" w:rsidRDefault="0012447E" w:rsidP="00D73872">
            <w:pPr>
              <w:pStyle w:val="BodyTextIndent"/>
              <w:ind w:left="0"/>
              <w:jc w:val="both"/>
            </w:pPr>
          </w:p>
        </w:tc>
        <w:tc>
          <w:tcPr>
            <w:tcW w:w="992" w:type="dxa"/>
          </w:tcPr>
          <w:p w:rsidR="0012447E" w:rsidRPr="00D41241" w:rsidRDefault="0012447E" w:rsidP="00D73872">
            <w:pPr>
              <w:pStyle w:val="BodyTextIndent"/>
              <w:ind w:left="0"/>
              <w:jc w:val="both"/>
            </w:pPr>
          </w:p>
        </w:tc>
        <w:tc>
          <w:tcPr>
            <w:tcW w:w="898" w:type="dxa"/>
          </w:tcPr>
          <w:p w:rsidR="0012447E" w:rsidRPr="00D41241" w:rsidRDefault="0012447E" w:rsidP="00D73872">
            <w:pPr>
              <w:pStyle w:val="BodyTextIndent"/>
              <w:ind w:left="0"/>
              <w:jc w:val="both"/>
            </w:pPr>
          </w:p>
        </w:tc>
      </w:tr>
      <w:tr w:rsidR="0012447E" w:rsidRPr="00D41241" w:rsidTr="00D73872">
        <w:trPr>
          <w:gridAfter w:val="2"/>
          <w:wAfter w:w="482" w:type="dxa"/>
        </w:trPr>
        <w:tc>
          <w:tcPr>
            <w:tcW w:w="1656" w:type="dxa"/>
            <w:gridSpan w:val="2"/>
          </w:tcPr>
          <w:p w:rsidR="0012447E" w:rsidRPr="00D41241" w:rsidRDefault="0012447E" w:rsidP="00D73872">
            <w:pPr>
              <w:pStyle w:val="BodyTextIndent"/>
              <w:ind w:left="0"/>
              <w:jc w:val="both"/>
            </w:pPr>
            <w:r w:rsidRPr="00D41241">
              <w:t>Manufacturing and trading of industrial products</w:t>
            </w:r>
          </w:p>
          <w:p w:rsidR="0012447E" w:rsidRPr="00D41241" w:rsidRDefault="0012447E" w:rsidP="00D73872">
            <w:pPr>
              <w:pStyle w:val="BodyTextIndent"/>
              <w:ind w:left="0"/>
              <w:jc w:val="both"/>
            </w:pPr>
          </w:p>
        </w:tc>
        <w:tc>
          <w:tcPr>
            <w:tcW w:w="851" w:type="dxa"/>
          </w:tcPr>
          <w:p w:rsidR="0012447E" w:rsidRPr="00D41241" w:rsidRDefault="0012447E" w:rsidP="00D73872">
            <w:pPr>
              <w:pStyle w:val="BodyTextIndent"/>
              <w:ind w:left="0"/>
              <w:jc w:val="center"/>
            </w:pPr>
            <w:r w:rsidRPr="00D41241">
              <w:t>3,253</w:t>
            </w:r>
          </w:p>
        </w:tc>
        <w:tc>
          <w:tcPr>
            <w:tcW w:w="992" w:type="dxa"/>
          </w:tcPr>
          <w:p w:rsidR="0012447E" w:rsidRPr="00D41241" w:rsidRDefault="0012447E" w:rsidP="00D73872">
            <w:pPr>
              <w:pStyle w:val="BodyTextIndent"/>
              <w:ind w:left="0"/>
              <w:jc w:val="center"/>
            </w:pPr>
            <w:r w:rsidRPr="00D41241">
              <w:t>2,464</w:t>
            </w:r>
          </w:p>
        </w:tc>
        <w:tc>
          <w:tcPr>
            <w:tcW w:w="992" w:type="dxa"/>
          </w:tcPr>
          <w:p w:rsidR="0012447E" w:rsidRPr="00D41241" w:rsidRDefault="0012447E" w:rsidP="00D73872">
            <w:pPr>
              <w:pStyle w:val="BodyTextIndent"/>
              <w:ind w:left="0"/>
              <w:jc w:val="center"/>
            </w:pPr>
            <w:r w:rsidRPr="00D41241">
              <w:t>789</w:t>
            </w:r>
          </w:p>
        </w:tc>
        <w:tc>
          <w:tcPr>
            <w:tcW w:w="993" w:type="dxa"/>
          </w:tcPr>
          <w:p w:rsidR="0012447E" w:rsidRPr="00D41241" w:rsidRDefault="0012447E" w:rsidP="00D73872">
            <w:pPr>
              <w:pStyle w:val="BodyTextIndent"/>
              <w:ind w:left="0"/>
              <w:jc w:val="center"/>
            </w:pPr>
            <w:r w:rsidRPr="00D41241">
              <w:t>32</w:t>
            </w:r>
          </w:p>
        </w:tc>
        <w:tc>
          <w:tcPr>
            <w:tcW w:w="992" w:type="dxa"/>
          </w:tcPr>
          <w:p w:rsidR="0012447E" w:rsidRPr="00D41241" w:rsidRDefault="0012447E" w:rsidP="00D73872">
            <w:pPr>
              <w:pStyle w:val="BodyTextIndent"/>
              <w:ind w:left="0"/>
              <w:jc w:val="center"/>
            </w:pPr>
            <w:r w:rsidRPr="00D41241">
              <w:t>12,901</w:t>
            </w:r>
          </w:p>
        </w:tc>
        <w:tc>
          <w:tcPr>
            <w:tcW w:w="992" w:type="dxa"/>
          </w:tcPr>
          <w:p w:rsidR="0012447E" w:rsidRPr="00D41241" w:rsidRDefault="0012447E" w:rsidP="00D73872">
            <w:pPr>
              <w:pStyle w:val="BodyTextIndent"/>
              <w:ind w:left="0"/>
              <w:jc w:val="center"/>
            </w:pPr>
            <w:r w:rsidRPr="00D41241">
              <w:t>13,238</w:t>
            </w:r>
          </w:p>
        </w:tc>
        <w:tc>
          <w:tcPr>
            <w:tcW w:w="992" w:type="dxa"/>
          </w:tcPr>
          <w:p w:rsidR="0012447E" w:rsidRPr="00D41241" w:rsidRDefault="0035066B" w:rsidP="00D73872">
            <w:pPr>
              <w:pStyle w:val="BodyTextIndent"/>
              <w:ind w:left="0"/>
              <w:jc w:val="center"/>
            </w:pPr>
            <w:r>
              <w:t>(</w:t>
            </w:r>
            <w:r w:rsidR="0012447E" w:rsidRPr="00D41241">
              <w:t>337</w:t>
            </w:r>
            <w:r>
              <w:t>)</w:t>
            </w:r>
          </w:p>
        </w:tc>
        <w:tc>
          <w:tcPr>
            <w:tcW w:w="898" w:type="dxa"/>
          </w:tcPr>
          <w:p w:rsidR="0012447E" w:rsidRPr="00D41241" w:rsidRDefault="0012447E" w:rsidP="00D73872">
            <w:pPr>
              <w:pStyle w:val="BodyTextIndent"/>
              <w:ind w:left="0"/>
              <w:jc w:val="center"/>
            </w:pPr>
            <w:r>
              <w:t>(3</w:t>
            </w:r>
            <w:r w:rsidRPr="00D41241">
              <w:t>)</w:t>
            </w:r>
          </w:p>
        </w:tc>
      </w:tr>
      <w:tr w:rsidR="0012447E" w:rsidRPr="00D41241" w:rsidTr="00D73872">
        <w:trPr>
          <w:trHeight w:val="422"/>
        </w:trPr>
        <w:tc>
          <w:tcPr>
            <w:tcW w:w="1656" w:type="dxa"/>
            <w:gridSpan w:val="2"/>
          </w:tcPr>
          <w:p w:rsidR="0012447E" w:rsidRPr="00D41241" w:rsidRDefault="0012447E" w:rsidP="00D73872">
            <w:pPr>
              <w:pStyle w:val="BodyTextIndent"/>
              <w:ind w:left="0"/>
              <w:jc w:val="both"/>
            </w:pPr>
            <w:r w:rsidRPr="00D41241">
              <w:t>Construction</w:t>
            </w:r>
          </w:p>
        </w:tc>
        <w:tc>
          <w:tcPr>
            <w:tcW w:w="851" w:type="dxa"/>
          </w:tcPr>
          <w:p w:rsidR="0012447E" w:rsidRPr="00D41241" w:rsidRDefault="0012447E" w:rsidP="00D73872">
            <w:pPr>
              <w:pStyle w:val="BodyTextIndent"/>
              <w:ind w:left="0"/>
              <w:jc w:val="center"/>
            </w:pPr>
            <w:r w:rsidRPr="00D41241">
              <w:t>1,817</w:t>
            </w:r>
          </w:p>
        </w:tc>
        <w:tc>
          <w:tcPr>
            <w:tcW w:w="992" w:type="dxa"/>
          </w:tcPr>
          <w:p w:rsidR="0012447E" w:rsidRPr="00D41241" w:rsidRDefault="0012447E" w:rsidP="00D73872">
            <w:pPr>
              <w:pStyle w:val="BodyTextIndent"/>
              <w:ind w:left="0"/>
              <w:jc w:val="center"/>
            </w:pPr>
            <w:r w:rsidRPr="00D41241">
              <w:t>4,536</w:t>
            </w:r>
          </w:p>
        </w:tc>
        <w:tc>
          <w:tcPr>
            <w:tcW w:w="992" w:type="dxa"/>
          </w:tcPr>
          <w:p w:rsidR="0012447E" w:rsidRPr="00D41241" w:rsidRDefault="0012447E" w:rsidP="00D73872">
            <w:pPr>
              <w:pStyle w:val="BodyTextIndent"/>
              <w:ind w:left="0"/>
              <w:jc w:val="center"/>
            </w:pPr>
            <w:r w:rsidRPr="00D41241">
              <w:t>(2,719)</w:t>
            </w:r>
          </w:p>
        </w:tc>
        <w:tc>
          <w:tcPr>
            <w:tcW w:w="993" w:type="dxa"/>
          </w:tcPr>
          <w:p w:rsidR="0012447E" w:rsidRPr="00D41241" w:rsidRDefault="0012447E" w:rsidP="00D73872">
            <w:pPr>
              <w:pStyle w:val="BodyTextIndent"/>
              <w:ind w:left="0"/>
              <w:jc w:val="center"/>
            </w:pPr>
            <w:r>
              <w:t>(60</w:t>
            </w:r>
            <w:r w:rsidRPr="00D41241">
              <w:t>)</w:t>
            </w:r>
          </w:p>
        </w:tc>
        <w:tc>
          <w:tcPr>
            <w:tcW w:w="992" w:type="dxa"/>
          </w:tcPr>
          <w:p w:rsidR="0012447E" w:rsidRPr="00D41241" w:rsidRDefault="0012447E" w:rsidP="00D73872">
            <w:pPr>
              <w:pStyle w:val="BodyTextIndent"/>
              <w:ind w:left="0"/>
              <w:jc w:val="center"/>
            </w:pPr>
            <w:r w:rsidRPr="00D41241">
              <w:t>6,318</w:t>
            </w:r>
          </w:p>
        </w:tc>
        <w:tc>
          <w:tcPr>
            <w:tcW w:w="992" w:type="dxa"/>
          </w:tcPr>
          <w:p w:rsidR="0012447E" w:rsidRPr="00D41241" w:rsidRDefault="0012447E" w:rsidP="00D73872">
            <w:pPr>
              <w:pStyle w:val="BodyTextIndent"/>
              <w:ind w:left="0"/>
              <w:jc w:val="center"/>
            </w:pPr>
            <w:r w:rsidRPr="00D41241">
              <w:t>12,525</w:t>
            </w:r>
          </w:p>
        </w:tc>
        <w:tc>
          <w:tcPr>
            <w:tcW w:w="992" w:type="dxa"/>
          </w:tcPr>
          <w:p w:rsidR="0012447E" w:rsidRPr="00D41241" w:rsidRDefault="0012447E" w:rsidP="00D73872">
            <w:pPr>
              <w:pStyle w:val="BodyTextIndent"/>
              <w:ind w:left="0"/>
              <w:jc w:val="center"/>
            </w:pPr>
            <w:r w:rsidRPr="00D41241">
              <w:t>(6,207)</w:t>
            </w:r>
          </w:p>
          <w:p w:rsidR="0012447E" w:rsidRPr="00D41241" w:rsidRDefault="0012447E" w:rsidP="00D73872">
            <w:pPr>
              <w:pStyle w:val="BodyTextIndent"/>
              <w:ind w:left="0"/>
            </w:pPr>
          </w:p>
        </w:tc>
        <w:tc>
          <w:tcPr>
            <w:tcW w:w="898" w:type="dxa"/>
          </w:tcPr>
          <w:p w:rsidR="0012447E" w:rsidRPr="00D41241" w:rsidRDefault="0012447E" w:rsidP="00D73872">
            <w:pPr>
              <w:pStyle w:val="BodyTextIndent"/>
              <w:ind w:left="0"/>
              <w:jc w:val="center"/>
            </w:pPr>
            <w:r w:rsidRPr="00D41241">
              <w:t>(</w:t>
            </w:r>
            <w:r>
              <w:t>50</w:t>
            </w:r>
            <w:r w:rsidRPr="00D41241">
              <w:t>)</w:t>
            </w:r>
          </w:p>
        </w:tc>
        <w:tc>
          <w:tcPr>
            <w:tcW w:w="482" w:type="dxa"/>
            <w:gridSpan w:val="2"/>
          </w:tcPr>
          <w:p w:rsidR="0012447E" w:rsidRPr="00D41241" w:rsidRDefault="0012447E" w:rsidP="00D73872">
            <w:pPr>
              <w:pStyle w:val="BodyTextIndent"/>
              <w:ind w:left="0"/>
              <w:jc w:val="center"/>
            </w:pPr>
          </w:p>
        </w:tc>
      </w:tr>
      <w:tr w:rsidR="0012447E" w:rsidRPr="00D41241" w:rsidTr="00D73872">
        <w:trPr>
          <w:cantSplit/>
          <w:trHeight w:val="556"/>
        </w:trPr>
        <w:tc>
          <w:tcPr>
            <w:tcW w:w="1520" w:type="dxa"/>
          </w:tcPr>
          <w:p w:rsidR="0012447E" w:rsidRPr="00D41241" w:rsidRDefault="0012447E" w:rsidP="00D73872">
            <w:pPr>
              <w:pStyle w:val="BodyTextIndent"/>
              <w:ind w:left="0"/>
              <w:jc w:val="both"/>
            </w:pPr>
            <w:r w:rsidRPr="00D41241">
              <w:t>Investment holding, management services and leasing</w:t>
            </w:r>
          </w:p>
        </w:tc>
        <w:tc>
          <w:tcPr>
            <w:tcW w:w="987" w:type="dxa"/>
            <w:gridSpan w:val="2"/>
            <w:tcBorders>
              <w:bottom w:val="single" w:sz="8" w:space="0" w:color="auto"/>
            </w:tcBorders>
          </w:tcPr>
          <w:p w:rsidR="0012447E" w:rsidRPr="00D41241" w:rsidRDefault="0012447E" w:rsidP="00D73872">
            <w:pPr>
              <w:pStyle w:val="BodyTextIndent"/>
              <w:ind w:left="0"/>
              <w:jc w:val="center"/>
            </w:pPr>
            <w:r w:rsidRPr="00D41241">
              <w:t>(104)</w:t>
            </w:r>
          </w:p>
        </w:tc>
        <w:tc>
          <w:tcPr>
            <w:tcW w:w="992" w:type="dxa"/>
            <w:tcBorders>
              <w:bottom w:val="single" w:sz="8" w:space="0" w:color="auto"/>
            </w:tcBorders>
          </w:tcPr>
          <w:p w:rsidR="0012447E" w:rsidRPr="00D41241" w:rsidRDefault="00E92D64" w:rsidP="00D73872">
            <w:pPr>
              <w:pStyle w:val="BodyTextIndent"/>
              <w:ind w:left="0"/>
              <w:jc w:val="center"/>
            </w:pPr>
            <w:r>
              <w:t>479</w:t>
            </w:r>
          </w:p>
          <w:p w:rsidR="0012447E" w:rsidRPr="00D41241" w:rsidRDefault="0012447E" w:rsidP="00D73872">
            <w:pPr>
              <w:pStyle w:val="BodyTextIndent"/>
              <w:ind w:left="0"/>
              <w:jc w:val="center"/>
            </w:pPr>
          </w:p>
        </w:tc>
        <w:tc>
          <w:tcPr>
            <w:tcW w:w="992" w:type="dxa"/>
          </w:tcPr>
          <w:p w:rsidR="0012447E" w:rsidRPr="00D41241" w:rsidRDefault="00E92D64" w:rsidP="00D73872">
            <w:pPr>
              <w:pStyle w:val="BodyTextIndent"/>
              <w:ind w:left="0"/>
              <w:jc w:val="center"/>
            </w:pPr>
            <w:r>
              <w:t>(583</w:t>
            </w:r>
            <w:r w:rsidR="0012447E" w:rsidRPr="00D41241">
              <w:t>)</w:t>
            </w:r>
          </w:p>
        </w:tc>
        <w:tc>
          <w:tcPr>
            <w:tcW w:w="993" w:type="dxa"/>
          </w:tcPr>
          <w:p w:rsidR="0012447E" w:rsidRPr="00D41241" w:rsidRDefault="00E92D64" w:rsidP="00D73872">
            <w:pPr>
              <w:pStyle w:val="BodyTextIndent"/>
              <w:ind w:left="0"/>
              <w:jc w:val="center"/>
            </w:pPr>
            <w:r>
              <w:t>(122</w:t>
            </w:r>
            <w:r w:rsidR="0012447E" w:rsidRPr="00D41241">
              <w:t>)</w:t>
            </w:r>
          </w:p>
        </w:tc>
        <w:tc>
          <w:tcPr>
            <w:tcW w:w="992" w:type="dxa"/>
            <w:tcBorders>
              <w:bottom w:val="single" w:sz="8" w:space="0" w:color="auto"/>
            </w:tcBorders>
          </w:tcPr>
          <w:p w:rsidR="0012447E" w:rsidRPr="00D41241" w:rsidRDefault="0012447E" w:rsidP="00D73872">
            <w:pPr>
              <w:pStyle w:val="BodyTextIndent"/>
              <w:ind w:left="0"/>
              <w:jc w:val="center"/>
            </w:pPr>
            <w:r w:rsidRPr="00D41241">
              <w:t>55</w:t>
            </w:r>
            <w:r>
              <w:t>6</w:t>
            </w:r>
          </w:p>
        </w:tc>
        <w:tc>
          <w:tcPr>
            <w:tcW w:w="992" w:type="dxa"/>
            <w:tcBorders>
              <w:bottom w:val="single" w:sz="8" w:space="0" w:color="auto"/>
            </w:tcBorders>
          </w:tcPr>
          <w:p w:rsidR="0012447E" w:rsidRPr="00D41241" w:rsidRDefault="00E92D64" w:rsidP="00D73872">
            <w:pPr>
              <w:pStyle w:val="BodyTextIndent"/>
              <w:ind w:left="0"/>
              <w:jc w:val="center"/>
            </w:pPr>
            <w:r>
              <w:t>2,232</w:t>
            </w:r>
          </w:p>
        </w:tc>
        <w:tc>
          <w:tcPr>
            <w:tcW w:w="992" w:type="dxa"/>
          </w:tcPr>
          <w:p w:rsidR="0012447E" w:rsidRPr="00D41241" w:rsidRDefault="00E92D64" w:rsidP="00D73872">
            <w:pPr>
              <w:pStyle w:val="BodyTextIndent"/>
              <w:ind w:left="0"/>
              <w:jc w:val="center"/>
            </w:pPr>
            <w:r>
              <w:t>(1,676</w:t>
            </w:r>
            <w:r w:rsidR="0012447E" w:rsidRPr="00D41241">
              <w:t>)</w:t>
            </w:r>
          </w:p>
        </w:tc>
        <w:tc>
          <w:tcPr>
            <w:tcW w:w="898" w:type="dxa"/>
          </w:tcPr>
          <w:p w:rsidR="0012447E" w:rsidRPr="00D41241" w:rsidRDefault="00E92D64" w:rsidP="00D73872">
            <w:pPr>
              <w:pStyle w:val="BodyTextIndent"/>
              <w:ind w:left="0"/>
              <w:jc w:val="center"/>
            </w:pPr>
            <w:r>
              <w:t>(75</w:t>
            </w:r>
            <w:r w:rsidR="0012447E" w:rsidRPr="00D41241">
              <w:t>)</w:t>
            </w:r>
          </w:p>
        </w:tc>
        <w:tc>
          <w:tcPr>
            <w:tcW w:w="482" w:type="dxa"/>
            <w:gridSpan w:val="2"/>
          </w:tcPr>
          <w:p w:rsidR="0012447E" w:rsidRPr="00D41241" w:rsidRDefault="0012447E" w:rsidP="00D73872">
            <w:pPr>
              <w:pStyle w:val="BodyTextIndent"/>
              <w:ind w:left="0"/>
              <w:jc w:val="center"/>
            </w:pPr>
          </w:p>
        </w:tc>
      </w:tr>
      <w:tr w:rsidR="0012447E" w:rsidRPr="00D41241" w:rsidTr="00D73872">
        <w:tc>
          <w:tcPr>
            <w:tcW w:w="1520" w:type="dxa"/>
          </w:tcPr>
          <w:p w:rsidR="0012447E" w:rsidRPr="00D41241" w:rsidRDefault="0012447E" w:rsidP="00D73872">
            <w:pPr>
              <w:pStyle w:val="BodyTextIndent"/>
              <w:ind w:left="0"/>
              <w:jc w:val="both"/>
            </w:pPr>
          </w:p>
        </w:tc>
        <w:tc>
          <w:tcPr>
            <w:tcW w:w="987" w:type="dxa"/>
            <w:gridSpan w:val="2"/>
            <w:tcBorders>
              <w:top w:val="single" w:sz="4" w:space="0" w:color="auto"/>
              <w:bottom w:val="single" w:sz="12" w:space="0" w:color="auto"/>
            </w:tcBorders>
          </w:tcPr>
          <w:p w:rsidR="0012447E" w:rsidRPr="00D41241" w:rsidRDefault="0012447E" w:rsidP="00D73872">
            <w:pPr>
              <w:pStyle w:val="BodyTextIndent"/>
              <w:ind w:left="0"/>
              <w:jc w:val="center"/>
            </w:pPr>
            <w:r w:rsidRPr="00D41241">
              <w:t>4,966</w:t>
            </w:r>
          </w:p>
        </w:tc>
        <w:tc>
          <w:tcPr>
            <w:tcW w:w="992" w:type="dxa"/>
            <w:tcBorders>
              <w:top w:val="single" w:sz="4" w:space="0" w:color="auto"/>
              <w:bottom w:val="single" w:sz="12" w:space="0" w:color="auto"/>
            </w:tcBorders>
          </w:tcPr>
          <w:p w:rsidR="0012447E" w:rsidRPr="00D41241" w:rsidRDefault="0012447E" w:rsidP="00D73872">
            <w:pPr>
              <w:pStyle w:val="BodyTextIndent"/>
              <w:ind w:left="0"/>
              <w:jc w:val="center"/>
            </w:pPr>
            <w:r w:rsidRPr="00D41241">
              <w:t>7,479</w:t>
            </w:r>
          </w:p>
        </w:tc>
        <w:tc>
          <w:tcPr>
            <w:tcW w:w="992" w:type="dxa"/>
          </w:tcPr>
          <w:p w:rsidR="0012447E" w:rsidRPr="00D41241" w:rsidRDefault="0012447E" w:rsidP="00D73872">
            <w:pPr>
              <w:pStyle w:val="BodyTextIndent"/>
              <w:ind w:left="0"/>
              <w:jc w:val="center"/>
            </w:pPr>
            <w:r w:rsidRPr="00D41241">
              <w:t>(2,513)</w:t>
            </w:r>
          </w:p>
        </w:tc>
        <w:tc>
          <w:tcPr>
            <w:tcW w:w="993" w:type="dxa"/>
          </w:tcPr>
          <w:p w:rsidR="0012447E" w:rsidRPr="00D41241" w:rsidRDefault="0012447E" w:rsidP="00D73872">
            <w:pPr>
              <w:pStyle w:val="BodyTextIndent"/>
              <w:ind w:left="0"/>
              <w:jc w:val="center"/>
            </w:pPr>
            <w:r>
              <w:t>(34</w:t>
            </w:r>
            <w:r w:rsidRPr="00D41241">
              <w:t>)</w:t>
            </w:r>
          </w:p>
        </w:tc>
        <w:tc>
          <w:tcPr>
            <w:tcW w:w="992" w:type="dxa"/>
            <w:tcBorders>
              <w:top w:val="single" w:sz="4" w:space="0" w:color="auto"/>
              <w:bottom w:val="single" w:sz="12" w:space="0" w:color="auto"/>
            </w:tcBorders>
          </w:tcPr>
          <w:p w:rsidR="0012447E" w:rsidRPr="00D41241" w:rsidRDefault="0012447E" w:rsidP="00D73872">
            <w:pPr>
              <w:pStyle w:val="BodyTextIndent"/>
              <w:ind w:left="0"/>
              <w:jc w:val="center"/>
            </w:pPr>
            <w:r w:rsidRPr="00D41241">
              <w:t>19,77</w:t>
            </w:r>
            <w:r>
              <w:t>5</w:t>
            </w:r>
          </w:p>
        </w:tc>
        <w:tc>
          <w:tcPr>
            <w:tcW w:w="992" w:type="dxa"/>
            <w:tcBorders>
              <w:top w:val="single" w:sz="4" w:space="0" w:color="auto"/>
              <w:bottom w:val="single" w:sz="12" w:space="0" w:color="auto"/>
            </w:tcBorders>
          </w:tcPr>
          <w:p w:rsidR="0012447E" w:rsidRPr="00D41241" w:rsidRDefault="0012447E" w:rsidP="00D73872">
            <w:pPr>
              <w:pStyle w:val="BodyTextIndent"/>
              <w:ind w:left="0"/>
              <w:jc w:val="center"/>
            </w:pPr>
            <w:r w:rsidRPr="00D41241">
              <w:t>27,995</w:t>
            </w:r>
          </w:p>
        </w:tc>
        <w:tc>
          <w:tcPr>
            <w:tcW w:w="992" w:type="dxa"/>
          </w:tcPr>
          <w:p w:rsidR="0012447E" w:rsidRPr="00D41241" w:rsidRDefault="0012447E" w:rsidP="00D73872">
            <w:pPr>
              <w:pStyle w:val="BodyTextIndent"/>
              <w:ind w:left="0"/>
              <w:jc w:val="center"/>
            </w:pPr>
            <w:r w:rsidRPr="00D41241">
              <w:t>(8,2</w:t>
            </w:r>
            <w:r>
              <w:t>20)</w:t>
            </w:r>
          </w:p>
        </w:tc>
        <w:tc>
          <w:tcPr>
            <w:tcW w:w="1144" w:type="dxa"/>
            <w:gridSpan w:val="2"/>
          </w:tcPr>
          <w:p w:rsidR="0012447E" w:rsidRPr="00D41241" w:rsidRDefault="0012447E" w:rsidP="00D73872">
            <w:pPr>
              <w:pStyle w:val="BodyTextIndent"/>
              <w:ind w:left="0"/>
              <w:jc w:val="center"/>
            </w:pPr>
            <w:r>
              <w:t>(29</w:t>
            </w:r>
            <w:r w:rsidRPr="00D41241">
              <w:t>)</w:t>
            </w:r>
          </w:p>
        </w:tc>
        <w:tc>
          <w:tcPr>
            <w:tcW w:w="236" w:type="dxa"/>
          </w:tcPr>
          <w:p w:rsidR="0012447E" w:rsidRPr="00D41241" w:rsidRDefault="0012447E" w:rsidP="00D73872">
            <w:pPr>
              <w:pStyle w:val="BodyTextIndent"/>
              <w:ind w:left="0"/>
              <w:jc w:val="center"/>
            </w:pPr>
          </w:p>
        </w:tc>
      </w:tr>
    </w:tbl>
    <w:p w:rsidR="0012447E" w:rsidRPr="00D41241" w:rsidRDefault="0012447E" w:rsidP="0001517F">
      <w:pPr>
        <w:pStyle w:val="BodyTextIndent"/>
        <w:ind w:hanging="720"/>
        <w:jc w:val="both"/>
      </w:pPr>
    </w:p>
    <w:p w:rsidR="0012447E" w:rsidRPr="00D41241" w:rsidRDefault="0012447E" w:rsidP="0001517F">
      <w:pPr>
        <w:pStyle w:val="BodyTextIndent"/>
        <w:ind w:hanging="720"/>
        <w:jc w:val="both"/>
      </w:pPr>
      <w:r w:rsidRPr="00D41241">
        <w:tab/>
      </w:r>
    </w:p>
    <w:p w:rsidR="0012447E" w:rsidRPr="00D41241" w:rsidRDefault="0012447E" w:rsidP="0001517F">
      <w:pPr>
        <w:pStyle w:val="BodyTextIndent"/>
        <w:ind w:left="0"/>
        <w:jc w:val="both"/>
      </w:pPr>
    </w:p>
    <w:tbl>
      <w:tblPr>
        <w:tblW w:w="9266" w:type="dxa"/>
        <w:tblInd w:w="720" w:type="dxa"/>
        <w:tblLook w:val="0000"/>
      </w:tblPr>
      <w:tblGrid>
        <w:gridCol w:w="1524"/>
        <w:gridCol w:w="986"/>
        <w:gridCol w:w="986"/>
        <w:gridCol w:w="986"/>
        <w:gridCol w:w="858"/>
        <w:gridCol w:w="986"/>
        <w:gridCol w:w="986"/>
        <w:gridCol w:w="986"/>
        <w:gridCol w:w="968"/>
      </w:tblGrid>
      <w:tr w:rsidR="0012447E" w:rsidRPr="00D41241" w:rsidTr="00D73872">
        <w:tc>
          <w:tcPr>
            <w:tcW w:w="1524" w:type="dxa"/>
          </w:tcPr>
          <w:p w:rsidR="0012447E" w:rsidRPr="00D41241" w:rsidRDefault="0012447E" w:rsidP="00D73872">
            <w:pPr>
              <w:pStyle w:val="BodyTextIndent"/>
              <w:ind w:left="0"/>
              <w:jc w:val="both"/>
            </w:pPr>
          </w:p>
        </w:tc>
        <w:tc>
          <w:tcPr>
            <w:tcW w:w="3816" w:type="dxa"/>
            <w:gridSpan w:val="4"/>
            <w:tcBorders>
              <w:bottom w:val="single" w:sz="8" w:space="0" w:color="auto"/>
            </w:tcBorders>
          </w:tcPr>
          <w:p w:rsidR="0012447E" w:rsidRPr="00D73872" w:rsidRDefault="0012447E" w:rsidP="00D73872">
            <w:pPr>
              <w:pStyle w:val="BodyTextIndent"/>
              <w:ind w:left="0"/>
              <w:jc w:val="center"/>
              <w:rPr>
                <w:b/>
              </w:rPr>
            </w:pPr>
            <w:r w:rsidRPr="00D73872">
              <w:rPr>
                <w:b/>
              </w:rPr>
              <w:t>Current quarter</w:t>
            </w:r>
          </w:p>
        </w:tc>
        <w:tc>
          <w:tcPr>
            <w:tcW w:w="3926" w:type="dxa"/>
            <w:gridSpan w:val="4"/>
            <w:tcBorders>
              <w:bottom w:val="single" w:sz="8" w:space="0" w:color="auto"/>
            </w:tcBorders>
          </w:tcPr>
          <w:p w:rsidR="0012447E" w:rsidRPr="00D73872" w:rsidRDefault="0012447E" w:rsidP="00D73872">
            <w:pPr>
              <w:pStyle w:val="BodyTextIndent"/>
              <w:ind w:left="0"/>
              <w:jc w:val="center"/>
              <w:rPr>
                <w:b/>
              </w:rPr>
            </w:pPr>
            <w:r w:rsidRPr="00D73872">
              <w:rPr>
                <w:b/>
              </w:rPr>
              <w:t>Cumulative quarters</w:t>
            </w:r>
          </w:p>
        </w:tc>
      </w:tr>
      <w:tr w:rsidR="0012447E" w:rsidRPr="00D41241" w:rsidTr="00D73872">
        <w:tc>
          <w:tcPr>
            <w:tcW w:w="1524" w:type="dxa"/>
          </w:tcPr>
          <w:p w:rsidR="0012447E" w:rsidRPr="00D41241" w:rsidRDefault="0012447E" w:rsidP="00D73872">
            <w:pPr>
              <w:pStyle w:val="BodyTextIndent"/>
              <w:ind w:left="0"/>
              <w:jc w:val="both"/>
            </w:pPr>
          </w:p>
        </w:tc>
        <w:tc>
          <w:tcPr>
            <w:tcW w:w="986" w:type="dxa"/>
          </w:tcPr>
          <w:p w:rsidR="0012447E" w:rsidRPr="00D73872" w:rsidRDefault="0012447E" w:rsidP="00D73872">
            <w:pPr>
              <w:pStyle w:val="BodyTextIndent"/>
              <w:ind w:left="0"/>
              <w:jc w:val="center"/>
              <w:rPr>
                <w:b/>
              </w:rPr>
            </w:pPr>
            <w:r w:rsidRPr="00D73872">
              <w:rPr>
                <w:b/>
              </w:rPr>
              <w:t>2012</w:t>
            </w:r>
          </w:p>
        </w:tc>
        <w:tc>
          <w:tcPr>
            <w:tcW w:w="986" w:type="dxa"/>
          </w:tcPr>
          <w:p w:rsidR="0012447E" w:rsidRPr="00D73872" w:rsidRDefault="0012447E" w:rsidP="00D73872">
            <w:pPr>
              <w:pStyle w:val="BodyTextIndent"/>
              <w:ind w:left="0"/>
              <w:jc w:val="center"/>
              <w:rPr>
                <w:b/>
              </w:rPr>
            </w:pPr>
            <w:r w:rsidRPr="00D73872">
              <w:rPr>
                <w:b/>
              </w:rPr>
              <w:t>2011</w:t>
            </w:r>
          </w:p>
        </w:tc>
        <w:tc>
          <w:tcPr>
            <w:tcW w:w="1844" w:type="dxa"/>
            <w:gridSpan w:val="2"/>
          </w:tcPr>
          <w:p w:rsidR="0012447E" w:rsidRPr="00D73872" w:rsidRDefault="0012447E" w:rsidP="00D73872">
            <w:pPr>
              <w:pStyle w:val="BodyTextIndent"/>
              <w:ind w:left="0"/>
              <w:jc w:val="center"/>
              <w:rPr>
                <w:b/>
              </w:rPr>
            </w:pPr>
            <w:r w:rsidRPr="00D73872">
              <w:rPr>
                <w:b/>
              </w:rPr>
              <w:t>Changes</w:t>
            </w:r>
          </w:p>
        </w:tc>
        <w:tc>
          <w:tcPr>
            <w:tcW w:w="986" w:type="dxa"/>
            <w:tcBorders>
              <w:top w:val="single" w:sz="8" w:space="0" w:color="auto"/>
            </w:tcBorders>
          </w:tcPr>
          <w:p w:rsidR="0012447E" w:rsidRPr="00D73872" w:rsidRDefault="0012447E" w:rsidP="00D73872">
            <w:pPr>
              <w:pStyle w:val="BodyTextIndent"/>
              <w:ind w:left="0"/>
              <w:jc w:val="center"/>
              <w:rPr>
                <w:b/>
              </w:rPr>
            </w:pPr>
            <w:r w:rsidRPr="00D73872">
              <w:rPr>
                <w:b/>
              </w:rPr>
              <w:t>2012</w:t>
            </w:r>
          </w:p>
        </w:tc>
        <w:tc>
          <w:tcPr>
            <w:tcW w:w="986" w:type="dxa"/>
            <w:tcBorders>
              <w:top w:val="single" w:sz="8" w:space="0" w:color="auto"/>
            </w:tcBorders>
          </w:tcPr>
          <w:p w:rsidR="0012447E" w:rsidRPr="00D73872" w:rsidRDefault="0012447E" w:rsidP="00D73872">
            <w:pPr>
              <w:pStyle w:val="BodyTextIndent"/>
              <w:ind w:left="0"/>
              <w:jc w:val="center"/>
              <w:rPr>
                <w:b/>
              </w:rPr>
            </w:pPr>
            <w:r w:rsidRPr="00D73872">
              <w:rPr>
                <w:b/>
              </w:rPr>
              <w:t>2011</w:t>
            </w:r>
          </w:p>
        </w:tc>
        <w:tc>
          <w:tcPr>
            <w:tcW w:w="1954" w:type="dxa"/>
            <w:gridSpan w:val="2"/>
            <w:tcBorders>
              <w:top w:val="single" w:sz="8" w:space="0" w:color="auto"/>
            </w:tcBorders>
          </w:tcPr>
          <w:p w:rsidR="0012447E" w:rsidRPr="00D73872" w:rsidRDefault="0012447E" w:rsidP="00D73872">
            <w:pPr>
              <w:pStyle w:val="BodyTextIndent"/>
              <w:ind w:left="0"/>
              <w:jc w:val="center"/>
              <w:rPr>
                <w:b/>
              </w:rPr>
            </w:pPr>
            <w:r w:rsidRPr="00D73872">
              <w:rPr>
                <w:b/>
              </w:rPr>
              <w:t>Changes</w:t>
            </w:r>
          </w:p>
        </w:tc>
      </w:tr>
      <w:tr w:rsidR="0012447E" w:rsidRPr="00D41241" w:rsidTr="00D73872">
        <w:tc>
          <w:tcPr>
            <w:tcW w:w="1524" w:type="dxa"/>
          </w:tcPr>
          <w:p w:rsidR="0012447E" w:rsidRPr="00D73872" w:rsidRDefault="0012447E" w:rsidP="00D73872">
            <w:pPr>
              <w:pStyle w:val="BodyTextIndent"/>
              <w:ind w:left="0"/>
              <w:jc w:val="both"/>
              <w:rPr>
                <w:b/>
                <w:u w:val="single"/>
              </w:rPr>
            </w:pPr>
            <w:r w:rsidRPr="00D73872">
              <w:rPr>
                <w:b/>
                <w:u w:val="single"/>
              </w:rPr>
              <w:t>Profit/(Loss) before tax</w:t>
            </w:r>
          </w:p>
        </w:tc>
        <w:tc>
          <w:tcPr>
            <w:tcW w:w="986" w:type="dxa"/>
          </w:tcPr>
          <w:p w:rsidR="0012447E" w:rsidRPr="00D73872" w:rsidRDefault="0012447E" w:rsidP="00D73872">
            <w:pPr>
              <w:pStyle w:val="BodyTextIndent"/>
              <w:ind w:left="0"/>
              <w:jc w:val="center"/>
              <w:rPr>
                <w:b/>
              </w:rPr>
            </w:pPr>
            <w:r w:rsidRPr="00D73872">
              <w:rPr>
                <w:b/>
              </w:rPr>
              <w:t>RM’000</w:t>
            </w:r>
          </w:p>
        </w:tc>
        <w:tc>
          <w:tcPr>
            <w:tcW w:w="986" w:type="dxa"/>
          </w:tcPr>
          <w:p w:rsidR="0012447E" w:rsidRPr="00D73872" w:rsidRDefault="0012447E" w:rsidP="00D73872">
            <w:pPr>
              <w:pStyle w:val="BodyTextIndent"/>
              <w:ind w:left="0"/>
              <w:jc w:val="center"/>
              <w:rPr>
                <w:b/>
              </w:rPr>
            </w:pPr>
            <w:r w:rsidRPr="00D73872">
              <w:rPr>
                <w:b/>
              </w:rPr>
              <w:t>RM’000</w:t>
            </w:r>
          </w:p>
        </w:tc>
        <w:tc>
          <w:tcPr>
            <w:tcW w:w="986" w:type="dxa"/>
          </w:tcPr>
          <w:p w:rsidR="0012447E" w:rsidRPr="00D73872" w:rsidRDefault="0012447E" w:rsidP="00D73872">
            <w:pPr>
              <w:pStyle w:val="BodyTextIndent"/>
              <w:ind w:left="0"/>
              <w:jc w:val="center"/>
              <w:rPr>
                <w:b/>
              </w:rPr>
            </w:pPr>
            <w:r w:rsidRPr="00D73872">
              <w:rPr>
                <w:b/>
              </w:rPr>
              <w:t>RM’000</w:t>
            </w:r>
          </w:p>
        </w:tc>
        <w:tc>
          <w:tcPr>
            <w:tcW w:w="858" w:type="dxa"/>
          </w:tcPr>
          <w:p w:rsidR="0012447E" w:rsidRPr="00D73872" w:rsidRDefault="0012447E" w:rsidP="00D73872">
            <w:pPr>
              <w:pStyle w:val="BodyTextIndent"/>
              <w:ind w:left="0"/>
              <w:jc w:val="center"/>
              <w:rPr>
                <w:b/>
              </w:rPr>
            </w:pPr>
            <w:r w:rsidRPr="00D73872">
              <w:rPr>
                <w:b/>
              </w:rPr>
              <w:t>%</w:t>
            </w:r>
          </w:p>
        </w:tc>
        <w:tc>
          <w:tcPr>
            <w:tcW w:w="986" w:type="dxa"/>
          </w:tcPr>
          <w:p w:rsidR="0012447E" w:rsidRPr="00D73872" w:rsidRDefault="0012447E" w:rsidP="00D73872">
            <w:pPr>
              <w:pStyle w:val="BodyTextIndent"/>
              <w:ind w:left="0"/>
              <w:jc w:val="center"/>
              <w:rPr>
                <w:b/>
              </w:rPr>
            </w:pPr>
            <w:r w:rsidRPr="00D73872">
              <w:rPr>
                <w:b/>
              </w:rPr>
              <w:t>RM’000</w:t>
            </w:r>
          </w:p>
        </w:tc>
        <w:tc>
          <w:tcPr>
            <w:tcW w:w="986" w:type="dxa"/>
          </w:tcPr>
          <w:p w:rsidR="0012447E" w:rsidRPr="00D73872" w:rsidRDefault="0012447E" w:rsidP="00D73872">
            <w:pPr>
              <w:pStyle w:val="BodyTextIndent"/>
              <w:ind w:left="0"/>
              <w:jc w:val="center"/>
              <w:rPr>
                <w:b/>
              </w:rPr>
            </w:pPr>
            <w:r w:rsidRPr="00D73872">
              <w:rPr>
                <w:b/>
              </w:rPr>
              <w:t>RM’000</w:t>
            </w:r>
          </w:p>
        </w:tc>
        <w:tc>
          <w:tcPr>
            <w:tcW w:w="986" w:type="dxa"/>
          </w:tcPr>
          <w:p w:rsidR="0012447E" w:rsidRPr="00D73872" w:rsidRDefault="0012447E" w:rsidP="00D73872">
            <w:pPr>
              <w:pStyle w:val="BodyTextIndent"/>
              <w:ind w:left="0"/>
              <w:jc w:val="center"/>
              <w:rPr>
                <w:b/>
              </w:rPr>
            </w:pPr>
            <w:r w:rsidRPr="00D73872">
              <w:rPr>
                <w:b/>
              </w:rPr>
              <w:t>RM’000</w:t>
            </w:r>
          </w:p>
        </w:tc>
        <w:tc>
          <w:tcPr>
            <w:tcW w:w="968" w:type="dxa"/>
          </w:tcPr>
          <w:p w:rsidR="0012447E" w:rsidRPr="00D73872" w:rsidRDefault="0012447E" w:rsidP="00D73872">
            <w:pPr>
              <w:pStyle w:val="BodyTextIndent"/>
              <w:ind w:left="0"/>
              <w:jc w:val="center"/>
              <w:rPr>
                <w:b/>
              </w:rPr>
            </w:pPr>
            <w:r w:rsidRPr="00D73872">
              <w:rPr>
                <w:b/>
              </w:rPr>
              <w:t>%</w:t>
            </w:r>
          </w:p>
        </w:tc>
      </w:tr>
      <w:tr w:rsidR="0012447E" w:rsidRPr="00D41241" w:rsidTr="00D73872">
        <w:tc>
          <w:tcPr>
            <w:tcW w:w="1524" w:type="dxa"/>
          </w:tcPr>
          <w:p w:rsidR="0012447E" w:rsidRPr="00D41241" w:rsidRDefault="0012447E" w:rsidP="00D73872">
            <w:pPr>
              <w:pStyle w:val="BodyTextIndent"/>
              <w:ind w:left="0"/>
              <w:jc w:val="both"/>
            </w:pPr>
          </w:p>
        </w:tc>
        <w:tc>
          <w:tcPr>
            <w:tcW w:w="986" w:type="dxa"/>
          </w:tcPr>
          <w:p w:rsidR="0012447E" w:rsidRPr="00D41241" w:rsidRDefault="0012447E" w:rsidP="00D73872">
            <w:pPr>
              <w:pStyle w:val="BodyTextIndent"/>
              <w:ind w:left="0"/>
              <w:jc w:val="center"/>
            </w:pPr>
          </w:p>
        </w:tc>
        <w:tc>
          <w:tcPr>
            <w:tcW w:w="986" w:type="dxa"/>
          </w:tcPr>
          <w:p w:rsidR="0012447E" w:rsidRPr="00D41241" w:rsidRDefault="0012447E" w:rsidP="00D73872">
            <w:pPr>
              <w:pStyle w:val="BodyTextIndent"/>
              <w:ind w:left="0"/>
              <w:jc w:val="center"/>
            </w:pPr>
          </w:p>
        </w:tc>
        <w:tc>
          <w:tcPr>
            <w:tcW w:w="986" w:type="dxa"/>
          </w:tcPr>
          <w:p w:rsidR="0012447E" w:rsidRPr="00D41241" w:rsidRDefault="0012447E" w:rsidP="00D73872">
            <w:pPr>
              <w:pStyle w:val="BodyTextIndent"/>
              <w:ind w:left="0"/>
              <w:jc w:val="center"/>
            </w:pPr>
          </w:p>
        </w:tc>
        <w:tc>
          <w:tcPr>
            <w:tcW w:w="858" w:type="dxa"/>
          </w:tcPr>
          <w:p w:rsidR="0012447E" w:rsidRPr="00D41241" w:rsidRDefault="0012447E" w:rsidP="00D73872">
            <w:pPr>
              <w:pStyle w:val="BodyTextIndent"/>
              <w:ind w:left="0"/>
              <w:jc w:val="center"/>
            </w:pPr>
          </w:p>
        </w:tc>
        <w:tc>
          <w:tcPr>
            <w:tcW w:w="986" w:type="dxa"/>
          </w:tcPr>
          <w:p w:rsidR="0012447E" w:rsidRPr="00D41241" w:rsidRDefault="0012447E" w:rsidP="00D73872">
            <w:pPr>
              <w:pStyle w:val="BodyTextIndent"/>
              <w:ind w:left="0"/>
              <w:jc w:val="center"/>
            </w:pPr>
          </w:p>
        </w:tc>
        <w:tc>
          <w:tcPr>
            <w:tcW w:w="986" w:type="dxa"/>
          </w:tcPr>
          <w:p w:rsidR="0012447E" w:rsidRPr="00D41241" w:rsidRDefault="0012447E" w:rsidP="00D73872">
            <w:pPr>
              <w:pStyle w:val="BodyTextIndent"/>
              <w:ind w:left="0"/>
              <w:jc w:val="center"/>
            </w:pPr>
          </w:p>
        </w:tc>
        <w:tc>
          <w:tcPr>
            <w:tcW w:w="986" w:type="dxa"/>
          </w:tcPr>
          <w:p w:rsidR="0012447E" w:rsidRPr="00D41241" w:rsidRDefault="0012447E" w:rsidP="00D73872">
            <w:pPr>
              <w:pStyle w:val="BodyTextIndent"/>
              <w:ind w:left="0"/>
              <w:jc w:val="center"/>
            </w:pPr>
          </w:p>
        </w:tc>
        <w:tc>
          <w:tcPr>
            <w:tcW w:w="968" w:type="dxa"/>
          </w:tcPr>
          <w:p w:rsidR="0012447E" w:rsidRPr="00D41241" w:rsidRDefault="0012447E" w:rsidP="00D73872">
            <w:pPr>
              <w:pStyle w:val="BodyTextIndent"/>
              <w:ind w:left="0"/>
              <w:jc w:val="center"/>
            </w:pPr>
          </w:p>
        </w:tc>
      </w:tr>
      <w:tr w:rsidR="0012447E" w:rsidRPr="00D41241" w:rsidTr="00D73872">
        <w:tc>
          <w:tcPr>
            <w:tcW w:w="1524" w:type="dxa"/>
          </w:tcPr>
          <w:p w:rsidR="0012447E" w:rsidRPr="00D41241" w:rsidRDefault="0012447E" w:rsidP="00D73872">
            <w:pPr>
              <w:pStyle w:val="BodyTextIndent"/>
              <w:ind w:left="0"/>
              <w:jc w:val="both"/>
            </w:pPr>
            <w:r w:rsidRPr="00D41241">
              <w:t>Manufacturing and trading of industrial products</w:t>
            </w:r>
          </w:p>
          <w:p w:rsidR="0012447E" w:rsidRPr="00D41241" w:rsidRDefault="0012447E" w:rsidP="00D73872">
            <w:pPr>
              <w:pStyle w:val="BodyTextIndent"/>
              <w:ind w:left="0"/>
              <w:jc w:val="both"/>
            </w:pPr>
          </w:p>
        </w:tc>
        <w:tc>
          <w:tcPr>
            <w:tcW w:w="986" w:type="dxa"/>
          </w:tcPr>
          <w:p w:rsidR="0012447E" w:rsidRPr="00D41241" w:rsidRDefault="0012447E" w:rsidP="00D73872">
            <w:pPr>
              <w:pStyle w:val="BodyTextIndent"/>
              <w:ind w:left="0"/>
              <w:jc w:val="center"/>
            </w:pPr>
            <w:r w:rsidRPr="00D41241">
              <w:t>902</w:t>
            </w:r>
          </w:p>
        </w:tc>
        <w:tc>
          <w:tcPr>
            <w:tcW w:w="986" w:type="dxa"/>
          </w:tcPr>
          <w:p w:rsidR="0012447E" w:rsidRPr="00D41241" w:rsidRDefault="0012447E" w:rsidP="00D73872">
            <w:pPr>
              <w:pStyle w:val="BodyTextIndent"/>
              <w:ind w:left="0"/>
              <w:jc w:val="center"/>
            </w:pPr>
            <w:r w:rsidRPr="00D41241">
              <w:t>122</w:t>
            </w:r>
          </w:p>
        </w:tc>
        <w:tc>
          <w:tcPr>
            <w:tcW w:w="986" w:type="dxa"/>
          </w:tcPr>
          <w:p w:rsidR="0012447E" w:rsidRPr="00D41241" w:rsidRDefault="0012447E" w:rsidP="00D73872">
            <w:pPr>
              <w:pStyle w:val="BodyTextIndent"/>
              <w:ind w:left="0"/>
              <w:jc w:val="center"/>
            </w:pPr>
            <w:r w:rsidRPr="00D41241">
              <w:t>780</w:t>
            </w:r>
          </w:p>
        </w:tc>
        <w:tc>
          <w:tcPr>
            <w:tcW w:w="858" w:type="dxa"/>
          </w:tcPr>
          <w:p w:rsidR="0012447E" w:rsidRPr="00D41241" w:rsidRDefault="0012447E" w:rsidP="00D73872">
            <w:pPr>
              <w:pStyle w:val="BodyTextIndent"/>
              <w:ind w:left="0"/>
              <w:jc w:val="center"/>
            </w:pPr>
            <w:r w:rsidRPr="00D41241">
              <w:t>639</w:t>
            </w:r>
          </w:p>
        </w:tc>
        <w:tc>
          <w:tcPr>
            <w:tcW w:w="986" w:type="dxa"/>
          </w:tcPr>
          <w:p w:rsidR="0012447E" w:rsidRPr="00D41241" w:rsidRDefault="0012447E" w:rsidP="00D73872">
            <w:pPr>
              <w:pStyle w:val="BodyTextIndent"/>
              <w:ind w:left="0"/>
              <w:jc w:val="center"/>
            </w:pPr>
            <w:r w:rsidRPr="00D41241">
              <w:t>3,250</w:t>
            </w:r>
          </w:p>
        </w:tc>
        <w:tc>
          <w:tcPr>
            <w:tcW w:w="986" w:type="dxa"/>
          </w:tcPr>
          <w:p w:rsidR="0012447E" w:rsidRPr="00D41241" w:rsidRDefault="0012447E" w:rsidP="00D73872">
            <w:pPr>
              <w:pStyle w:val="BodyTextIndent"/>
              <w:ind w:left="0"/>
              <w:jc w:val="center"/>
            </w:pPr>
            <w:r w:rsidRPr="00D41241">
              <w:t>2,702</w:t>
            </w:r>
          </w:p>
        </w:tc>
        <w:tc>
          <w:tcPr>
            <w:tcW w:w="986" w:type="dxa"/>
          </w:tcPr>
          <w:p w:rsidR="0012447E" w:rsidRPr="00D41241" w:rsidRDefault="0012447E" w:rsidP="00D73872">
            <w:pPr>
              <w:pStyle w:val="BodyTextIndent"/>
              <w:ind w:left="0"/>
              <w:jc w:val="center"/>
            </w:pPr>
            <w:r w:rsidRPr="00D41241">
              <w:t>548</w:t>
            </w:r>
          </w:p>
        </w:tc>
        <w:tc>
          <w:tcPr>
            <w:tcW w:w="968" w:type="dxa"/>
          </w:tcPr>
          <w:p w:rsidR="0012447E" w:rsidRPr="00D41241" w:rsidRDefault="0012447E" w:rsidP="00D73872">
            <w:pPr>
              <w:pStyle w:val="BodyTextIndent"/>
              <w:ind w:left="0"/>
              <w:jc w:val="center"/>
            </w:pPr>
            <w:r w:rsidRPr="00D41241">
              <w:t>20</w:t>
            </w:r>
          </w:p>
        </w:tc>
      </w:tr>
      <w:tr w:rsidR="0012447E" w:rsidRPr="00D41241" w:rsidTr="00D73872">
        <w:trPr>
          <w:trHeight w:val="422"/>
        </w:trPr>
        <w:tc>
          <w:tcPr>
            <w:tcW w:w="1524" w:type="dxa"/>
          </w:tcPr>
          <w:p w:rsidR="0012447E" w:rsidRPr="00D41241" w:rsidRDefault="0012447E" w:rsidP="00D73872">
            <w:pPr>
              <w:pStyle w:val="BodyTextIndent"/>
              <w:ind w:left="0"/>
              <w:jc w:val="both"/>
            </w:pPr>
            <w:r w:rsidRPr="00D41241">
              <w:t>Construction</w:t>
            </w:r>
          </w:p>
        </w:tc>
        <w:tc>
          <w:tcPr>
            <w:tcW w:w="986" w:type="dxa"/>
          </w:tcPr>
          <w:p w:rsidR="0012447E" w:rsidRPr="00D41241" w:rsidRDefault="0012447E" w:rsidP="00D73872">
            <w:pPr>
              <w:pStyle w:val="BodyTextIndent"/>
              <w:ind w:left="0"/>
              <w:jc w:val="center"/>
            </w:pPr>
            <w:r w:rsidRPr="00D41241">
              <w:t>(1,222)</w:t>
            </w:r>
          </w:p>
        </w:tc>
        <w:tc>
          <w:tcPr>
            <w:tcW w:w="986" w:type="dxa"/>
          </w:tcPr>
          <w:p w:rsidR="0012447E" w:rsidRPr="00D41241" w:rsidRDefault="0012447E" w:rsidP="00D73872">
            <w:pPr>
              <w:pStyle w:val="BodyTextIndent"/>
              <w:ind w:left="0"/>
              <w:jc w:val="center"/>
            </w:pPr>
            <w:r w:rsidRPr="00D41241">
              <w:t>(927)</w:t>
            </w:r>
          </w:p>
        </w:tc>
        <w:tc>
          <w:tcPr>
            <w:tcW w:w="986" w:type="dxa"/>
          </w:tcPr>
          <w:p w:rsidR="0012447E" w:rsidRPr="00D41241" w:rsidRDefault="0012447E" w:rsidP="00D73872">
            <w:pPr>
              <w:pStyle w:val="BodyTextIndent"/>
              <w:ind w:left="0"/>
              <w:jc w:val="center"/>
            </w:pPr>
            <w:r w:rsidRPr="00D41241">
              <w:t>(295)</w:t>
            </w:r>
          </w:p>
        </w:tc>
        <w:tc>
          <w:tcPr>
            <w:tcW w:w="858" w:type="dxa"/>
          </w:tcPr>
          <w:p w:rsidR="0012447E" w:rsidRPr="00D41241" w:rsidRDefault="0012447E" w:rsidP="00D73872">
            <w:pPr>
              <w:pStyle w:val="BodyTextIndent"/>
              <w:ind w:left="0"/>
              <w:jc w:val="center"/>
            </w:pPr>
            <w:r>
              <w:t>(32</w:t>
            </w:r>
            <w:r w:rsidRPr="00D41241">
              <w:t>)</w:t>
            </w:r>
          </w:p>
        </w:tc>
        <w:tc>
          <w:tcPr>
            <w:tcW w:w="986" w:type="dxa"/>
          </w:tcPr>
          <w:p w:rsidR="0012447E" w:rsidRPr="00D41241" w:rsidRDefault="0012447E" w:rsidP="00D73872">
            <w:pPr>
              <w:pStyle w:val="BodyTextIndent"/>
              <w:ind w:left="0"/>
              <w:jc w:val="center"/>
            </w:pPr>
            <w:r w:rsidRPr="00D41241">
              <w:t>(20,553)</w:t>
            </w:r>
          </w:p>
        </w:tc>
        <w:tc>
          <w:tcPr>
            <w:tcW w:w="986" w:type="dxa"/>
          </w:tcPr>
          <w:p w:rsidR="0012447E" w:rsidRPr="00D41241" w:rsidRDefault="0012447E" w:rsidP="00D73872">
            <w:pPr>
              <w:pStyle w:val="BodyTextIndent"/>
              <w:ind w:left="0"/>
              <w:jc w:val="center"/>
            </w:pPr>
            <w:r w:rsidRPr="00D41241">
              <w:t>(4,077)</w:t>
            </w:r>
          </w:p>
        </w:tc>
        <w:tc>
          <w:tcPr>
            <w:tcW w:w="986" w:type="dxa"/>
          </w:tcPr>
          <w:p w:rsidR="0012447E" w:rsidRPr="00D41241" w:rsidRDefault="0012447E" w:rsidP="00D73872">
            <w:pPr>
              <w:pStyle w:val="BodyTextIndent"/>
              <w:ind w:left="0"/>
              <w:jc w:val="center"/>
            </w:pPr>
            <w:r w:rsidRPr="00D41241">
              <w:t>(16,476)</w:t>
            </w:r>
          </w:p>
        </w:tc>
        <w:tc>
          <w:tcPr>
            <w:tcW w:w="968" w:type="dxa"/>
          </w:tcPr>
          <w:p w:rsidR="0012447E" w:rsidRPr="00D41241" w:rsidRDefault="0012447E" w:rsidP="00D73872">
            <w:pPr>
              <w:pStyle w:val="BodyTextIndent"/>
              <w:ind w:left="0"/>
              <w:jc w:val="center"/>
            </w:pPr>
            <w:r>
              <w:t>(404</w:t>
            </w:r>
            <w:r w:rsidRPr="00D41241">
              <w:t>)</w:t>
            </w:r>
          </w:p>
        </w:tc>
      </w:tr>
      <w:tr w:rsidR="0012447E" w:rsidRPr="00D41241" w:rsidTr="00D73872">
        <w:trPr>
          <w:cantSplit/>
          <w:trHeight w:val="556"/>
        </w:trPr>
        <w:tc>
          <w:tcPr>
            <w:tcW w:w="1524" w:type="dxa"/>
          </w:tcPr>
          <w:p w:rsidR="0012447E" w:rsidRPr="00D41241" w:rsidRDefault="0012447E" w:rsidP="00D73872">
            <w:pPr>
              <w:pStyle w:val="BodyTextIndent"/>
              <w:ind w:left="0"/>
              <w:jc w:val="both"/>
            </w:pPr>
            <w:r w:rsidRPr="00D41241">
              <w:t>Investment holding, management services and leasing</w:t>
            </w:r>
          </w:p>
        </w:tc>
        <w:tc>
          <w:tcPr>
            <w:tcW w:w="986" w:type="dxa"/>
            <w:tcBorders>
              <w:bottom w:val="single" w:sz="8" w:space="0" w:color="auto"/>
            </w:tcBorders>
          </w:tcPr>
          <w:p w:rsidR="0012447E" w:rsidRPr="00D41241" w:rsidRDefault="00244218" w:rsidP="00D73872">
            <w:pPr>
              <w:pStyle w:val="BodyTextIndent"/>
              <w:ind w:left="0"/>
              <w:jc w:val="center"/>
            </w:pPr>
            <w:r>
              <w:t>28035</w:t>
            </w:r>
          </w:p>
        </w:tc>
        <w:tc>
          <w:tcPr>
            <w:tcW w:w="986" w:type="dxa"/>
            <w:tcBorders>
              <w:bottom w:val="single" w:sz="8" w:space="0" w:color="auto"/>
            </w:tcBorders>
          </w:tcPr>
          <w:p w:rsidR="0012447E" w:rsidRPr="00D41241" w:rsidRDefault="0012447E" w:rsidP="00D73872">
            <w:pPr>
              <w:pStyle w:val="BodyTextIndent"/>
              <w:ind w:left="0"/>
              <w:jc w:val="center"/>
            </w:pPr>
            <w:r w:rsidRPr="00D41241">
              <w:t>(25,619)</w:t>
            </w:r>
          </w:p>
        </w:tc>
        <w:tc>
          <w:tcPr>
            <w:tcW w:w="986" w:type="dxa"/>
          </w:tcPr>
          <w:p w:rsidR="0012447E" w:rsidRPr="00D41241" w:rsidRDefault="0012447E" w:rsidP="00D73872">
            <w:pPr>
              <w:pStyle w:val="BodyTextIndent"/>
              <w:ind w:left="0"/>
              <w:jc w:val="center"/>
            </w:pPr>
            <w:r>
              <w:t>5</w:t>
            </w:r>
            <w:r w:rsidR="00244218">
              <w:t>3,654</w:t>
            </w:r>
          </w:p>
        </w:tc>
        <w:tc>
          <w:tcPr>
            <w:tcW w:w="858" w:type="dxa"/>
          </w:tcPr>
          <w:p w:rsidR="0012447E" w:rsidRPr="00D41241" w:rsidRDefault="0012447E" w:rsidP="00D73872">
            <w:pPr>
              <w:pStyle w:val="BodyTextIndent"/>
              <w:ind w:left="0"/>
              <w:jc w:val="center"/>
            </w:pPr>
            <w:r w:rsidRPr="00D41241">
              <w:t>3</w:t>
            </w:r>
            <w:r w:rsidR="00244218">
              <w:t>09</w:t>
            </w:r>
          </w:p>
        </w:tc>
        <w:tc>
          <w:tcPr>
            <w:tcW w:w="986" w:type="dxa"/>
            <w:tcBorders>
              <w:bottom w:val="single" w:sz="8" w:space="0" w:color="auto"/>
            </w:tcBorders>
          </w:tcPr>
          <w:p w:rsidR="0012447E" w:rsidRPr="00D41241" w:rsidRDefault="00244218" w:rsidP="00D73872">
            <w:pPr>
              <w:pStyle w:val="BodyTextIndent"/>
              <w:ind w:left="0"/>
              <w:jc w:val="center"/>
            </w:pPr>
            <w:r>
              <w:t>48,75</w:t>
            </w:r>
            <w:r w:rsidR="00E92D64">
              <w:t>2</w:t>
            </w:r>
          </w:p>
        </w:tc>
        <w:tc>
          <w:tcPr>
            <w:tcW w:w="986" w:type="dxa"/>
            <w:tcBorders>
              <w:bottom w:val="single" w:sz="8" w:space="0" w:color="auto"/>
            </w:tcBorders>
          </w:tcPr>
          <w:p w:rsidR="0012447E" w:rsidRPr="00D41241" w:rsidRDefault="0012447E" w:rsidP="00D73872">
            <w:pPr>
              <w:pStyle w:val="BodyTextIndent"/>
              <w:ind w:left="0"/>
              <w:jc w:val="center"/>
            </w:pPr>
            <w:r w:rsidRPr="00D41241">
              <w:t>(45,114)</w:t>
            </w:r>
          </w:p>
        </w:tc>
        <w:tc>
          <w:tcPr>
            <w:tcW w:w="986" w:type="dxa"/>
          </w:tcPr>
          <w:p w:rsidR="0012447E" w:rsidRPr="00D41241" w:rsidRDefault="0012447E" w:rsidP="00D73872">
            <w:pPr>
              <w:pStyle w:val="BodyTextIndent"/>
              <w:ind w:left="0"/>
              <w:jc w:val="center"/>
            </w:pPr>
            <w:r>
              <w:t>9</w:t>
            </w:r>
            <w:r w:rsidR="00244218">
              <w:t>3,86</w:t>
            </w:r>
            <w:r w:rsidR="00E92D64">
              <w:t>6</w:t>
            </w:r>
          </w:p>
        </w:tc>
        <w:tc>
          <w:tcPr>
            <w:tcW w:w="968" w:type="dxa"/>
          </w:tcPr>
          <w:p w:rsidR="0012447E" w:rsidRPr="00D41241" w:rsidRDefault="0012447E" w:rsidP="00D73872">
            <w:pPr>
              <w:pStyle w:val="BodyTextIndent"/>
              <w:ind w:left="0"/>
              <w:jc w:val="center"/>
            </w:pPr>
            <w:r>
              <w:t>3</w:t>
            </w:r>
            <w:r w:rsidR="00244218">
              <w:t>08</w:t>
            </w:r>
          </w:p>
        </w:tc>
      </w:tr>
      <w:tr w:rsidR="0012447E" w:rsidRPr="00D41241" w:rsidTr="00D73872">
        <w:tc>
          <w:tcPr>
            <w:tcW w:w="1524" w:type="dxa"/>
          </w:tcPr>
          <w:p w:rsidR="0012447E" w:rsidRPr="00D41241" w:rsidRDefault="0012447E" w:rsidP="00D73872">
            <w:pPr>
              <w:pStyle w:val="BodyTextIndent"/>
              <w:ind w:left="0"/>
              <w:jc w:val="both"/>
            </w:pPr>
          </w:p>
        </w:tc>
        <w:tc>
          <w:tcPr>
            <w:tcW w:w="986" w:type="dxa"/>
            <w:tcBorders>
              <w:top w:val="single" w:sz="8" w:space="0" w:color="auto"/>
              <w:bottom w:val="single" w:sz="18" w:space="0" w:color="auto"/>
            </w:tcBorders>
          </w:tcPr>
          <w:p w:rsidR="0012447E" w:rsidRPr="00D41241" w:rsidRDefault="0012447E" w:rsidP="00D73872">
            <w:pPr>
              <w:pStyle w:val="BodyTextIndent"/>
              <w:ind w:left="0"/>
              <w:jc w:val="center"/>
            </w:pPr>
            <w:r>
              <w:t>2</w:t>
            </w:r>
            <w:r w:rsidR="00244218">
              <w:t>7,715</w:t>
            </w:r>
          </w:p>
        </w:tc>
        <w:tc>
          <w:tcPr>
            <w:tcW w:w="986" w:type="dxa"/>
            <w:tcBorders>
              <w:top w:val="single" w:sz="8" w:space="0" w:color="auto"/>
              <w:bottom w:val="single" w:sz="18" w:space="0" w:color="auto"/>
            </w:tcBorders>
          </w:tcPr>
          <w:p w:rsidR="0012447E" w:rsidRPr="00D41241" w:rsidRDefault="0012447E" w:rsidP="00D73872">
            <w:pPr>
              <w:pStyle w:val="BodyTextIndent"/>
              <w:ind w:left="0"/>
              <w:jc w:val="center"/>
            </w:pPr>
            <w:r w:rsidRPr="00D41241">
              <w:t>(26,424)</w:t>
            </w:r>
          </w:p>
        </w:tc>
        <w:tc>
          <w:tcPr>
            <w:tcW w:w="986" w:type="dxa"/>
          </w:tcPr>
          <w:p w:rsidR="0012447E" w:rsidRPr="00D41241" w:rsidRDefault="0012447E" w:rsidP="00D73872">
            <w:pPr>
              <w:pStyle w:val="BodyTextIndent"/>
              <w:ind w:left="0"/>
              <w:jc w:val="center"/>
            </w:pPr>
            <w:r>
              <w:t>5</w:t>
            </w:r>
            <w:r w:rsidR="00244218">
              <w:t>4,139</w:t>
            </w:r>
          </w:p>
        </w:tc>
        <w:tc>
          <w:tcPr>
            <w:tcW w:w="858" w:type="dxa"/>
          </w:tcPr>
          <w:p w:rsidR="0012447E" w:rsidRPr="00D41241" w:rsidRDefault="00244218" w:rsidP="00D73872">
            <w:pPr>
              <w:pStyle w:val="BodyTextIndent"/>
              <w:ind w:left="0"/>
              <w:jc w:val="center"/>
            </w:pPr>
            <w:r>
              <w:t>304</w:t>
            </w:r>
          </w:p>
        </w:tc>
        <w:tc>
          <w:tcPr>
            <w:tcW w:w="986" w:type="dxa"/>
            <w:tcBorders>
              <w:top w:val="single" w:sz="8" w:space="0" w:color="auto"/>
              <w:bottom w:val="single" w:sz="18" w:space="0" w:color="auto"/>
            </w:tcBorders>
          </w:tcPr>
          <w:p w:rsidR="0012447E" w:rsidRPr="00D41241" w:rsidRDefault="00244218" w:rsidP="00D73872">
            <w:pPr>
              <w:pStyle w:val="BodyTextIndent"/>
              <w:ind w:left="0"/>
              <w:jc w:val="center"/>
            </w:pPr>
            <w:r>
              <w:t>31,44</w:t>
            </w:r>
            <w:r w:rsidR="00E92D64">
              <w:t>9</w:t>
            </w:r>
          </w:p>
        </w:tc>
        <w:tc>
          <w:tcPr>
            <w:tcW w:w="986" w:type="dxa"/>
            <w:tcBorders>
              <w:top w:val="single" w:sz="8" w:space="0" w:color="auto"/>
              <w:bottom w:val="single" w:sz="18" w:space="0" w:color="auto"/>
            </w:tcBorders>
          </w:tcPr>
          <w:p w:rsidR="0012447E" w:rsidRPr="00D41241" w:rsidRDefault="0012447E" w:rsidP="00D73872">
            <w:pPr>
              <w:pStyle w:val="BodyTextIndent"/>
              <w:ind w:left="0"/>
              <w:jc w:val="center"/>
            </w:pPr>
            <w:r w:rsidRPr="00D41241">
              <w:t>(46,489)</w:t>
            </w:r>
          </w:p>
        </w:tc>
        <w:tc>
          <w:tcPr>
            <w:tcW w:w="986" w:type="dxa"/>
          </w:tcPr>
          <w:p w:rsidR="0012447E" w:rsidRPr="00D41241" w:rsidRDefault="00244218" w:rsidP="00D73872">
            <w:pPr>
              <w:pStyle w:val="BodyTextIndent"/>
              <w:ind w:left="0"/>
              <w:jc w:val="center"/>
            </w:pPr>
            <w:r>
              <w:t>77,93</w:t>
            </w:r>
            <w:r w:rsidR="00E92D64">
              <w:t>8</w:t>
            </w:r>
          </w:p>
        </w:tc>
        <w:tc>
          <w:tcPr>
            <w:tcW w:w="968" w:type="dxa"/>
          </w:tcPr>
          <w:p w:rsidR="0012447E" w:rsidRPr="00D41241" w:rsidRDefault="00244218" w:rsidP="00D73872">
            <w:pPr>
              <w:pStyle w:val="BodyTextIndent"/>
              <w:ind w:left="0"/>
              <w:jc w:val="center"/>
            </w:pPr>
            <w:r>
              <w:t>268</w:t>
            </w:r>
          </w:p>
        </w:tc>
      </w:tr>
    </w:tbl>
    <w:p w:rsidR="0012447E" w:rsidRPr="00D41241" w:rsidRDefault="0012447E" w:rsidP="0001517F">
      <w:pPr>
        <w:pStyle w:val="BodyTextIndent"/>
        <w:ind w:hanging="720"/>
        <w:jc w:val="both"/>
      </w:pPr>
    </w:p>
    <w:p w:rsidR="0012447E" w:rsidRDefault="0012447E" w:rsidP="00C91ABB">
      <w:pPr>
        <w:jc w:val="both"/>
        <w:rPr>
          <w:b/>
          <w:sz w:val="22"/>
          <w:szCs w:val="22"/>
          <w:lang w:val="en-GB"/>
        </w:rPr>
      </w:pPr>
    </w:p>
    <w:p w:rsidR="0012447E" w:rsidRDefault="0012447E" w:rsidP="00C91ABB">
      <w:pPr>
        <w:jc w:val="both"/>
        <w:rPr>
          <w:b/>
          <w:sz w:val="22"/>
          <w:szCs w:val="22"/>
          <w:lang w:val="en-GB"/>
        </w:rPr>
      </w:pPr>
    </w:p>
    <w:p w:rsidR="00055144" w:rsidRDefault="00055144" w:rsidP="00C91ABB">
      <w:pPr>
        <w:jc w:val="both"/>
        <w:rPr>
          <w:b/>
          <w:sz w:val="22"/>
          <w:szCs w:val="22"/>
          <w:lang w:val="en-GB"/>
        </w:rPr>
      </w:pPr>
    </w:p>
    <w:p w:rsidR="00055144" w:rsidRDefault="00055144" w:rsidP="00C91ABB">
      <w:pPr>
        <w:jc w:val="both"/>
        <w:rPr>
          <w:b/>
          <w:sz w:val="22"/>
          <w:szCs w:val="22"/>
          <w:lang w:val="en-GB"/>
        </w:rPr>
      </w:pPr>
    </w:p>
    <w:p w:rsidR="0012447E" w:rsidRDefault="0012447E" w:rsidP="00C91ABB">
      <w:pPr>
        <w:jc w:val="both"/>
        <w:rPr>
          <w:b/>
          <w:sz w:val="22"/>
          <w:szCs w:val="22"/>
          <w:lang w:val="en-GB"/>
        </w:rPr>
      </w:pPr>
    </w:p>
    <w:p w:rsidR="0012447E" w:rsidRPr="009B6B9B" w:rsidRDefault="0012447E" w:rsidP="009B6B9B">
      <w:pPr>
        <w:pStyle w:val="ListParagraph"/>
        <w:numPr>
          <w:ilvl w:val="0"/>
          <w:numId w:val="20"/>
        </w:numPr>
        <w:jc w:val="both"/>
        <w:rPr>
          <w:b/>
          <w:sz w:val="22"/>
          <w:szCs w:val="22"/>
          <w:lang w:val="en-GB"/>
        </w:rPr>
      </w:pPr>
      <w:r>
        <w:rPr>
          <w:b/>
          <w:sz w:val="22"/>
          <w:szCs w:val="22"/>
          <w:lang w:val="en-GB"/>
        </w:rPr>
        <w:lastRenderedPageBreak/>
        <w:t xml:space="preserve">Overall </w:t>
      </w:r>
      <w:r w:rsidRPr="009B6B9B">
        <w:rPr>
          <w:b/>
          <w:sz w:val="22"/>
          <w:szCs w:val="22"/>
          <w:lang w:val="en-GB"/>
        </w:rPr>
        <w:t>Result</w:t>
      </w:r>
      <w:r>
        <w:rPr>
          <w:b/>
          <w:sz w:val="22"/>
          <w:szCs w:val="22"/>
          <w:lang w:val="en-GB"/>
        </w:rPr>
        <w:t>s</w:t>
      </w:r>
      <w:r w:rsidRPr="009B6B9B">
        <w:rPr>
          <w:b/>
          <w:sz w:val="22"/>
          <w:szCs w:val="22"/>
          <w:lang w:val="en-GB"/>
        </w:rPr>
        <w:t xml:space="preserve"> Commentary:</w:t>
      </w:r>
    </w:p>
    <w:p w:rsidR="0012447E" w:rsidRDefault="0012447E" w:rsidP="009B6B9B">
      <w:pPr>
        <w:pStyle w:val="ListParagraph"/>
        <w:jc w:val="both"/>
        <w:rPr>
          <w:b/>
          <w:sz w:val="22"/>
          <w:szCs w:val="22"/>
          <w:lang w:val="en-GB"/>
        </w:rPr>
      </w:pPr>
      <w:r w:rsidRPr="009B6B9B">
        <w:rPr>
          <w:b/>
          <w:sz w:val="22"/>
          <w:szCs w:val="22"/>
          <w:lang w:val="en-GB"/>
        </w:rPr>
        <w:tab/>
      </w:r>
      <w:r>
        <w:rPr>
          <w:b/>
          <w:sz w:val="22"/>
          <w:szCs w:val="22"/>
          <w:lang w:val="en-GB"/>
        </w:rPr>
        <w:tab/>
      </w:r>
    </w:p>
    <w:p w:rsidR="0012447E" w:rsidRDefault="0012447E" w:rsidP="00C91ABB">
      <w:pPr>
        <w:jc w:val="both"/>
        <w:rPr>
          <w:b/>
          <w:sz w:val="22"/>
          <w:szCs w:val="22"/>
          <w:lang w:val="en-GB"/>
        </w:rPr>
      </w:pPr>
      <w:r>
        <w:rPr>
          <w:b/>
          <w:sz w:val="22"/>
          <w:szCs w:val="22"/>
          <w:lang w:val="en-GB"/>
        </w:rPr>
        <w:tab/>
        <w:t>For the quarter:</w:t>
      </w:r>
    </w:p>
    <w:p w:rsidR="0012447E" w:rsidRDefault="0012447E" w:rsidP="004B433C">
      <w:pPr>
        <w:ind w:left="720"/>
        <w:jc w:val="both"/>
        <w:rPr>
          <w:sz w:val="22"/>
          <w:szCs w:val="22"/>
          <w:lang w:val="en-GB"/>
        </w:rPr>
      </w:pPr>
      <w:r>
        <w:rPr>
          <w:sz w:val="22"/>
          <w:szCs w:val="22"/>
          <w:lang w:val="en-GB"/>
        </w:rPr>
        <w:t xml:space="preserve">The Group recorded </w:t>
      </w:r>
      <w:proofErr w:type="gramStart"/>
      <w:r>
        <w:rPr>
          <w:sz w:val="22"/>
          <w:szCs w:val="22"/>
          <w:lang w:val="en-GB"/>
        </w:rPr>
        <w:t>a revenue</w:t>
      </w:r>
      <w:proofErr w:type="gramEnd"/>
      <w:r>
        <w:rPr>
          <w:sz w:val="22"/>
          <w:szCs w:val="22"/>
          <w:lang w:val="en-GB"/>
        </w:rPr>
        <w:t xml:space="preserve"> of RM 4.97 million which is a decrease of 34% compared to the revenue recorded in the preceding year quarter. The Group reco</w:t>
      </w:r>
      <w:r w:rsidR="00244218">
        <w:rPr>
          <w:sz w:val="22"/>
          <w:szCs w:val="22"/>
          <w:lang w:val="en-GB"/>
        </w:rPr>
        <w:t>rded a pre-tax profit of RM27.72</w:t>
      </w:r>
      <w:r>
        <w:rPr>
          <w:sz w:val="22"/>
          <w:szCs w:val="22"/>
          <w:lang w:val="en-GB"/>
        </w:rPr>
        <w:t xml:space="preserve"> million compared to </w:t>
      </w:r>
      <w:proofErr w:type="gramStart"/>
      <w:r>
        <w:rPr>
          <w:sz w:val="22"/>
          <w:szCs w:val="22"/>
          <w:lang w:val="en-GB"/>
        </w:rPr>
        <w:t>a  pre</w:t>
      </w:r>
      <w:proofErr w:type="gramEnd"/>
      <w:r>
        <w:rPr>
          <w:sz w:val="22"/>
          <w:szCs w:val="22"/>
          <w:lang w:val="en-GB"/>
        </w:rPr>
        <w:t>-tax loss of RM26.42 million incurred in the preceding quarter.</w:t>
      </w:r>
    </w:p>
    <w:p w:rsidR="0012447E" w:rsidRPr="004B433C" w:rsidRDefault="0012447E" w:rsidP="004B433C">
      <w:pPr>
        <w:ind w:left="720"/>
        <w:jc w:val="both"/>
        <w:rPr>
          <w:sz w:val="22"/>
          <w:szCs w:val="22"/>
          <w:lang w:val="en-GB"/>
        </w:rPr>
      </w:pPr>
    </w:p>
    <w:p w:rsidR="0012447E" w:rsidRPr="007C795A" w:rsidRDefault="0012447E" w:rsidP="00C91ABB">
      <w:pPr>
        <w:jc w:val="both"/>
        <w:rPr>
          <w:b/>
          <w:sz w:val="22"/>
          <w:szCs w:val="22"/>
          <w:lang w:val="en-GB"/>
        </w:rPr>
      </w:pPr>
      <w:r>
        <w:rPr>
          <w:b/>
          <w:sz w:val="22"/>
          <w:szCs w:val="22"/>
          <w:lang w:val="en-GB"/>
        </w:rPr>
        <w:tab/>
        <w:t xml:space="preserve">For the year: </w:t>
      </w:r>
    </w:p>
    <w:p w:rsidR="0012447E" w:rsidRPr="007C795A" w:rsidRDefault="0012447E" w:rsidP="0049012B">
      <w:pPr>
        <w:ind w:left="720"/>
        <w:jc w:val="both"/>
        <w:rPr>
          <w:b/>
          <w:sz w:val="22"/>
          <w:szCs w:val="22"/>
          <w:lang w:val="en-GB"/>
        </w:rPr>
      </w:pPr>
    </w:p>
    <w:p w:rsidR="0012447E" w:rsidRPr="003A48E0" w:rsidRDefault="0012447E" w:rsidP="0049012B">
      <w:pPr>
        <w:ind w:left="720"/>
        <w:jc w:val="both"/>
        <w:rPr>
          <w:sz w:val="22"/>
          <w:szCs w:val="22"/>
        </w:rPr>
      </w:pPr>
      <w:r>
        <w:rPr>
          <w:sz w:val="22"/>
          <w:szCs w:val="22"/>
        </w:rPr>
        <w:t>T</w:t>
      </w:r>
      <w:r w:rsidRPr="003A48E0">
        <w:rPr>
          <w:sz w:val="22"/>
          <w:szCs w:val="22"/>
        </w:rPr>
        <w:t>he Grou</w:t>
      </w:r>
      <w:r>
        <w:rPr>
          <w:sz w:val="22"/>
          <w:szCs w:val="22"/>
        </w:rPr>
        <w:t>p recorded a turnover of RM19.78</w:t>
      </w:r>
      <w:r w:rsidRPr="003A48E0">
        <w:rPr>
          <w:sz w:val="22"/>
          <w:szCs w:val="22"/>
        </w:rPr>
        <w:t xml:space="preserve"> million</w:t>
      </w:r>
      <w:r>
        <w:rPr>
          <w:sz w:val="22"/>
          <w:szCs w:val="22"/>
        </w:rPr>
        <w:t xml:space="preserve"> which is a decrease of 29% compared to the revenue recorded in previous year. The Group reco</w:t>
      </w:r>
      <w:r w:rsidR="00244218">
        <w:rPr>
          <w:sz w:val="22"/>
          <w:szCs w:val="22"/>
        </w:rPr>
        <w:t>rded a pre-tax profit of RM31.45</w:t>
      </w:r>
      <w:r>
        <w:rPr>
          <w:sz w:val="22"/>
          <w:szCs w:val="22"/>
        </w:rPr>
        <w:t xml:space="preserve"> mil</w:t>
      </w:r>
      <w:r w:rsidR="00244218">
        <w:rPr>
          <w:sz w:val="22"/>
          <w:szCs w:val="22"/>
        </w:rPr>
        <w:t>lion which is an increase of 268</w:t>
      </w:r>
      <w:r>
        <w:rPr>
          <w:sz w:val="22"/>
          <w:szCs w:val="22"/>
        </w:rPr>
        <w:t>% compared to pre-tax losses recorded in previous year.</w:t>
      </w:r>
    </w:p>
    <w:p w:rsidR="0012447E" w:rsidRPr="007C795A" w:rsidRDefault="0012447E" w:rsidP="0049012B">
      <w:pPr>
        <w:tabs>
          <w:tab w:val="left" w:pos="6751"/>
        </w:tabs>
        <w:ind w:left="720"/>
        <w:jc w:val="both"/>
      </w:pPr>
      <w:r w:rsidRPr="007C795A">
        <w:tab/>
      </w:r>
    </w:p>
    <w:p w:rsidR="0012447E" w:rsidRDefault="0012447E" w:rsidP="009B6B9B">
      <w:pPr>
        <w:pStyle w:val="ListParagraph"/>
        <w:numPr>
          <w:ilvl w:val="0"/>
          <w:numId w:val="20"/>
        </w:numPr>
        <w:jc w:val="both"/>
        <w:rPr>
          <w:b/>
          <w:sz w:val="22"/>
          <w:szCs w:val="22"/>
          <w:lang w:val="en-GB"/>
        </w:rPr>
      </w:pPr>
      <w:r>
        <w:rPr>
          <w:b/>
          <w:sz w:val="22"/>
          <w:szCs w:val="22"/>
          <w:lang w:val="en-GB"/>
        </w:rPr>
        <w:t>Segmental Results Commentary:</w:t>
      </w:r>
    </w:p>
    <w:p w:rsidR="0012447E" w:rsidRDefault="0012447E" w:rsidP="009B6B9B">
      <w:pPr>
        <w:jc w:val="both"/>
        <w:rPr>
          <w:b/>
          <w:sz w:val="22"/>
          <w:szCs w:val="22"/>
          <w:lang w:val="en-GB"/>
        </w:rPr>
      </w:pPr>
    </w:p>
    <w:p w:rsidR="0012447E" w:rsidRPr="009B6B9B" w:rsidRDefault="0012447E" w:rsidP="009B6B9B">
      <w:pPr>
        <w:ind w:left="720"/>
        <w:jc w:val="both"/>
        <w:rPr>
          <w:b/>
          <w:sz w:val="22"/>
          <w:szCs w:val="22"/>
          <w:lang w:val="en-GB"/>
        </w:rPr>
      </w:pPr>
      <w:proofErr w:type="spellStart"/>
      <w:r>
        <w:rPr>
          <w:b/>
          <w:sz w:val="22"/>
          <w:szCs w:val="22"/>
          <w:lang w:val="en-GB"/>
        </w:rPr>
        <w:t>i</w:t>
      </w:r>
      <w:proofErr w:type="spellEnd"/>
      <w:r>
        <w:rPr>
          <w:b/>
          <w:sz w:val="22"/>
          <w:szCs w:val="22"/>
          <w:lang w:val="en-GB"/>
        </w:rPr>
        <w:t xml:space="preserve">) </w:t>
      </w:r>
      <w:r w:rsidRPr="009B6B9B">
        <w:rPr>
          <w:b/>
          <w:sz w:val="22"/>
          <w:szCs w:val="22"/>
          <w:lang w:val="en-GB"/>
        </w:rPr>
        <w:t>Manufacturing and trading of industrial products:</w:t>
      </w:r>
    </w:p>
    <w:p w:rsidR="0012447E" w:rsidRDefault="0012447E" w:rsidP="00C91ABB">
      <w:pPr>
        <w:jc w:val="both"/>
        <w:rPr>
          <w:b/>
          <w:sz w:val="22"/>
          <w:szCs w:val="22"/>
          <w:lang w:val="en-GB"/>
        </w:rPr>
      </w:pPr>
      <w:r w:rsidRPr="007C795A">
        <w:rPr>
          <w:b/>
          <w:sz w:val="22"/>
          <w:szCs w:val="22"/>
          <w:lang w:val="en-GB"/>
        </w:rPr>
        <w:tab/>
      </w:r>
    </w:p>
    <w:p w:rsidR="0012447E" w:rsidRDefault="0012447E" w:rsidP="00C91ABB">
      <w:pPr>
        <w:jc w:val="both"/>
        <w:rPr>
          <w:b/>
          <w:sz w:val="22"/>
          <w:szCs w:val="22"/>
          <w:lang w:val="en-GB"/>
        </w:rPr>
      </w:pPr>
      <w:r>
        <w:rPr>
          <w:b/>
          <w:sz w:val="22"/>
          <w:szCs w:val="22"/>
          <w:lang w:val="en-GB"/>
        </w:rPr>
        <w:tab/>
        <w:t>For the quarter:</w:t>
      </w:r>
    </w:p>
    <w:p w:rsidR="0012447E" w:rsidRDefault="0012447E" w:rsidP="00E37B49">
      <w:pPr>
        <w:ind w:left="720"/>
        <w:jc w:val="both"/>
        <w:rPr>
          <w:sz w:val="22"/>
          <w:szCs w:val="22"/>
          <w:lang w:val="en-GB"/>
        </w:rPr>
      </w:pPr>
      <w:proofErr w:type="gramStart"/>
      <w:r>
        <w:rPr>
          <w:sz w:val="22"/>
          <w:szCs w:val="22"/>
          <w:lang w:val="en-GB"/>
        </w:rPr>
        <w:t>R</w:t>
      </w:r>
      <w:r w:rsidRPr="00A735BC">
        <w:rPr>
          <w:sz w:val="22"/>
          <w:szCs w:val="22"/>
          <w:lang w:val="en-GB"/>
        </w:rPr>
        <w:t>evenue of the division increased b</w:t>
      </w:r>
      <w:r>
        <w:rPr>
          <w:sz w:val="22"/>
          <w:szCs w:val="22"/>
          <w:lang w:val="en-GB"/>
        </w:rPr>
        <w:t>y</w:t>
      </w:r>
      <w:r w:rsidRPr="00A735BC">
        <w:rPr>
          <w:sz w:val="22"/>
          <w:szCs w:val="22"/>
          <w:lang w:val="en-GB"/>
        </w:rPr>
        <w:t xml:space="preserve"> 32%</w:t>
      </w:r>
      <w:r>
        <w:rPr>
          <w:sz w:val="22"/>
          <w:szCs w:val="22"/>
          <w:lang w:val="en-GB"/>
        </w:rPr>
        <w:t xml:space="preserve"> due to increase in volume of production and sales as compared to previous quarter.</w:t>
      </w:r>
      <w:proofErr w:type="gramEnd"/>
      <w:r>
        <w:rPr>
          <w:sz w:val="22"/>
          <w:szCs w:val="22"/>
          <w:lang w:val="en-GB"/>
        </w:rPr>
        <w:t xml:space="preserve">  The pre-tax profit increased by 639% as in the previous year management fee of RM0.42 million was charged by the holding company but not in the current year.</w:t>
      </w:r>
    </w:p>
    <w:p w:rsidR="0012447E" w:rsidRPr="00A735BC" w:rsidRDefault="0012447E" w:rsidP="00E37B49">
      <w:pPr>
        <w:ind w:left="720"/>
        <w:jc w:val="both"/>
        <w:rPr>
          <w:sz w:val="22"/>
          <w:szCs w:val="22"/>
          <w:lang w:val="en-GB"/>
        </w:rPr>
      </w:pPr>
    </w:p>
    <w:p w:rsidR="0012447E" w:rsidRPr="007C795A" w:rsidRDefault="0012447E" w:rsidP="00C91ABB">
      <w:pPr>
        <w:jc w:val="both"/>
        <w:rPr>
          <w:b/>
          <w:sz w:val="22"/>
          <w:szCs w:val="22"/>
          <w:lang w:val="en-GB"/>
        </w:rPr>
      </w:pPr>
      <w:r>
        <w:rPr>
          <w:b/>
          <w:sz w:val="22"/>
          <w:szCs w:val="22"/>
          <w:lang w:val="en-GB"/>
        </w:rPr>
        <w:tab/>
        <w:t>For the year:</w:t>
      </w:r>
    </w:p>
    <w:p w:rsidR="0012447E" w:rsidRDefault="0012447E" w:rsidP="00D64A47">
      <w:pPr>
        <w:ind w:left="720"/>
        <w:jc w:val="both"/>
        <w:rPr>
          <w:sz w:val="22"/>
          <w:szCs w:val="22"/>
          <w:lang w:val="en-GB"/>
        </w:rPr>
      </w:pPr>
      <w:r>
        <w:rPr>
          <w:sz w:val="22"/>
          <w:szCs w:val="22"/>
          <w:lang w:val="en-GB"/>
        </w:rPr>
        <w:t>R</w:t>
      </w:r>
      <w:r w:rsidRPr="007C795A">
        <w:rPr>
          <w:sz w:val="22"/>
          <w:szCs w:val="22"/>
          <w:lang w:val="en-GB"/>
        </w:rPr>
        <w:t>evenue of the division</w:t>
      </w:r>
      <w:r>
        <w:rPr>
          <w:sz w:val="22"/>
          <w:szCs w:val="22"/>
          <w:lang w:val="en-GB"/>
        </w:rPr>
        <w:t xml:space="preserve"> approximated that of the previous year. The division’s pre-tax profit increase by 20% as there was no management fee of RM0.42 million charged, as mentioned above.</w:t>
      </w:r>
    </w:p>
    <w:p w:rsidR="0012447E" w:rsidRPr="00022A7F" w:rsidRDefault="0012447E" w:rsidP="00D64A47">
      <w:pPr>
        <w:ind w:left="720"/>
        <w:jc w:val="both"/>
        <w:rPr>
          <w:sz w:val="22"/>
          <w:szCs w:val="22"/>
          <w:lang w:val="en-GB"/>
        </w:rPr>
      </w:pPr>
      <w:r w:rsidRPr="00022A7F">
        <w:rPr>
          <w:sz w:val="22"/>
          <w:szCs w:val="22"/>
          <w:lang w:val="en-GB"/>
        </w:rPr>
        <w:t xml:space="preserve"> </w:t>
      </w:r>
    </w:p>
    <w:p w:rsidR="0012447E" w:rsidRDefault="0012447E" w:rsidP="00C91ABB">
      <w:pPr>
        <w:jc w:val="both"/>
        <w:rPr>
          <w:b/>
          <w:sz w:val="22"/>
          <w:szCs w:val="22"/>
          <w:lang w:val="en-GB"/>
        </w:rPr>
      </w:pPr>
      <w:r w:rsidRPr="00022A7F">
        <w:rPr>
          <w:b/>
          <w:sz w:val="22"/>
          <w:szCs w:val="22"/>
          <w:lang w:val="en-GB"/>
        </w:rPr>
        <w:tab/>
      </w:r>
      <w:r>
        <w:rPr>
          <w:b/>
          <w:sz w:val="22"/>
          <w:szCs w:val="22"/>
          <w:lang w:val="en-GB"/>
        </w:rPr>
        <w:t xml:space="preserve">ii) </w:t>
      </w:r>
      <w:r w:rsidRPr="00022A7F">
        <w:rPr>
          <w:b/>
          <w:sz w:val="22"/>
          <w:szCs w:val="22"/>
          <w:lang w:val="en-GB"/>
        </w:rPr>
        <w:t>Construction:</w:t>
      </w:r>
    </w:p>
    <w:p w:rsidR="0012447E" w:rsidRDefault="0012447E" w:rsidP="00C91ABB">
      <w:pPr>
        <w:jc w:val="both"/>
        <w:rPr>
          <w:b/>
          <w:sz w:val="22"/>
          <w:szCs w:val="22"/>
          <w:lang w:val="en-GB"/>
        </w:rPr>
      </w:pPr>
      <w:r w:rsidRPr="00022A7F">
        <w:rPr>
          <w:b/>
          <w:sz w:val="22"/>
          <w:szCs w:val="22"/>
          <w:lang w:val="en-GB"/>
        </w:rPr>
        <w:br/>
      </w:r>
      <w:r>
        <w:rPr>
          <w:b/>
          <w:sz w:val="22"/>
          <w:szCs w:val="22"/>
          <w:lang w:val="en-GB"/>
        </w:rPr>
        <w:tab/>
        <w:t>For the quarter:</w:t>
      </w:r>
    </w:p>
    <w:p w:rsidR="0012447E" w:rsidRDefault="0012447E" w:rsidP="00A735BC">
      <w:pPr>
        <w:ind w:left="720"/>
        <w:jc w:val="both"/>
        <w:rPr>
          <w:sz w:val="22"/>
          <w:szCs w:val="22"/>
          <w:lang w:val="en-GB"/>
        </w:rPr>
      </w:pPr>
      <w:r>
        <w:rPr>
          <w:sz w:val="22"/>
          <w:szCs w:val="22"/>
          <w:lang w:val="en-GB"/>
        </w:rPr>
        <w:t xml:space="preserve">Revenue of the division </w:t>
      </w:r>
      <w:r w:rsidRPr="00A735BC">
        <w:rPr>
          <w:sz w:val="22"/>
          <w:szCs w:val="22"/>
          <w:lang w:val="en-GB"/>
        </w:rPr>
        <w:t>decline</w:t>
      </w:r>
      <w:r>
        <w:rPr>
          <w:sz w:val="22"/>
          <w:szCs w:val="22"/>
          <w:lang w:val="en-GB"/>
        </w:rPr>
        <w:t>d by 60% as the construction projects were</w:t>
      </w:r>
      <w:r w:rsidRPr="00A735BC">
        <w:rPr>
          <w:sz w:val="22"/>
          <w:szCs w:val="22"/>
          <w:lang w:val="en-GB"/>
        </w:rPr>
        <w:t xml:space="preserve"> near completion.</w:t>
      </w:r>
      <w:r>
        <w:rPr>
          <w:sz w:val="22"/>
          <w:szCs w:val="22"/>
          <w:lang w:val="en-GB"/>
        </w:rPr>
        <w:t xml:space="preserve">  However, the pre-tax losses increased by 32% due to reversal of provision for doubtful debts of RM1.94 million made in the earlier periods.</w:t>
      </w:r>
    </w:p>
    <w:p w:rsidR="0012447E" w:rsidRPr="00A735BC" w:rsidRDefault="0012447E" w:rsidP="00A735BC">
      <w:pPr>
        <w:ind w:left="720"/>
        <w:jc w:val="both"/>
        <w:rPr>
          <w:sz w:val="22"/>
          <w:szCs w:val="22"/>
          <w:lang w:val="en-GB"/>
        </w:rPr>
      </w:pPr>
    </w:p>
    <w:p w:rsidR="0012447E" w:rsidRPr="00022A7F" w:rsidRDefault="0012447E" w:rsidP="00C91ABB">
      <w:pPr>
        <w:jc w:val="both"/>
        <w:rPr>
          <w:b/>
          <w:sz w:val="22"/>
          <w:szCs w:val="22"/>
          <w:lang w:val="en-GB"/>
        </w:rPr>
      </w:pPr>
      <w:r>
        <w:rPr>
          <w:b/>
          <w:sz w:val="22"/>
          <w:szCs w:val="22"/>
          <w:lang w:val="en-GB"/>
        </w:rPr>
        <w:tab/>
        <w:t>For the year:</w:t>
      </w:r>
    </w:p>
    <w:p w:rsidR="0012447E" w:rsidRPr="00022A7F" w:rsidRDefault="0012447E" w:rsidP="007C795A">
      <w:pPr>
        <w:ind w:left="720"/>
        <w:jc w:val="both"/>
        <w:rPr>
          <w:sz w:val="22"/>
          <w:szCs w:val="22"/>
          <w:lang w:val="en-GB"/>
        </w:rPr>
      </w:pPr>
      <w:r>
        <w:rPr>
          <w:sz w:val="22"/>
          <w:szCs w:val="22"/>
          <w:lang w:val="en-GB"/>
        </w:rPr>
        <w:t>Revenue of the decreased by 50% as the</w:t>
      </w:r>
      <w:r w:rsidRPr="00022A7F">
        <w:rPr>
          <w:sz w:val="22"/>
          <w:szCs w:val="22"/>
          <w:lang w:val="en-GB"/>
        </w:rPr>
        <w:t xml:space="preserve"> current constructi</w:t>
      </w:r>
      <w:r>
        <w:rPr>
          <w:sz w:val="22"/>
          <w:szCs w:val="22"/>
          <w:lang w:val="en-GB"/>
        </w:rPr>
        <w:t>on projects are</w:t>
      </w:r>
      <w:r w:rsidRPr="00022A7F">
        <w:rPr>
          <w:sz w:val="22"/>
          <w:szCs w:val="22"/>
          <w:lang w:val="en-GB"/>
        </w:rPr>
        <w:t xml:space="preserve"> near compl</w:t>
      </w:r>
      <w:r>
        <w:rPr>
          <w:sz w:val="22"/>
          <w:szCs w:val="22"/>
          <w:lang w:val="en-GB"/>
        </w:rPr>
        <w:t xml:space="preserve">etion. The division </w:t>
      </w:r>
      <w:r w:rsidRPr="00022A7F">
        <w:rPr>
          <w:sz w:val="22"/>
          <w:szCs w:val="22"/>
          <w:lang w:val="en-GB"/>
        </w:rPr>
        <w:t xml:space="preserve">suffered </w:t>
      </w:r>
      <w:r>
        <w:rPr>
          <w:sz w:val="22"/>
          <w:szCs w:val="22"/>
          <w:lang w:val="en-GB"/>
        </w:rPr>
        <w:t xml:space="preserve">an increase in pre-tax loss of 404% </w:t>
      </w:r>
      <w:r w:rsidRPr="00022A7F">
        <w:rPr>
          <w:sz w:val="22"/>
          <w:szCs w:val="22"/>
          <w:lang w:val="en-GB"/>
        </w:rPr>
        <w:t xml:space="preserve">mainly </w:t>
      </w:r>
      <w:r>
        <w:rPr>
          <w:sz w:val="22"/>
          <w:szCs w:val="22"/>
          <w:lang w:val="en-GB"/>
        </w:rPr>
        <w:t>due to</w:t>
      </w:r>
      <w:r w:rsidRPr="00022A7F">
        <w:rPr>
          <w:sz w:val="22"/>
          <w:szCs w:val="22"/>
          <w:lang w:val="en-GB"/>
        </w:rPr>
        <w:t xml:space="preserve"> provision for doubtful debt amounting to RM18.9</w:t>
      </w:r>
      <w:r>
        <w:rPr>
          <w:sz w:val="22"/>
          <w:szCs w:val="22"/>
          <w:lang w:val="en-GB"/>
        </w:rPr>
        <w:t>3</w:t>
      </w:r>
      <w:r w:rsidRPr="00022A7F">
        <w:rPr>
          <w:sz w:val="22"/>
          <w:szCs w:val="22"/>
          <w:lang w:val="en-GB"/>
        </w:rPr>
        <w:t xml:space="preserve"> million.</w:t>
      </w:r>
    </w:p>
    <w:p w:rsidR="0012447E" w:rsidRPr="00022A7F" w:rsidRDefault="0012447E" w:rsidP="007C795A">
      <w:pPr>
        <w:ind w:left="720"/>
        <w:jc w:val="both"/>
        <w:rPr>
          <w:sz w:val="22"/>
          <w:szCs w:val="22"/>
          <w:lang w:val="en-GB"/>
        </w:rPr>
      </w:pPr>
    </w:p>
    <w:p w:rsidR="0012447E" w:rsidRPr="00022A7F" w:rsidRDefault="0012447E" w:rsidP="00C91ABB">
      <w:pPr>
        <w:jc w:val="both"/>
        <w:rPr>
          <w:b/>
          <w:sz w:val="22"/>
          <w:szCs w:val="22"/>
          <w:lang w:val="en-GB"/>
        </w:rPr>
      </w:pPr>
      <w:r w:rsidRPr="00022A7F">
        <w:rPr>
          <w:b/>
          <w:sz w:val="22"/>
          <w:szCs w:val="22"/>
          <w:lang w:val="en-GB"/>
        </w:rPr>
        <w:tab/>
      </w:r>
      <w:r>
        <w:rPr>
          <w:b/>
          <w:sz w:val="22"/>
          <w:szCs w:val="22"/>
          <w:lang w:val="en-GB"/>
        </w:rPr>
        <w:t xml:space="preserve">iii) </w:t>
      </w:r>
      <w:r w:rsidRPr="00022A7F">
        <w:rPr>
          <w:b/>
          <w:sz w:val="22"/>
          <w:szCs w:val="22"/>
          <w:lang w:val="en-GB"/>
        </w:rPr>
        <w:t>Investment holding, Management Services and Leasing:</w:t>
      </w:r>
    </w:p>
    <w:p w:rsidR="0012447E" w:rsidRPr="00022A7F" w:rsidRDefault="0012447E" w:rsidP="00211766">
      <w:pPr>
        <w:tabs>
          <w:tab w:val="left" w:pos="7380"/>
        </w:tabs>
        <w:jc w:val="both"/>
        <w:rPr>
          <w:b/>
          <w:sz w:val="22"/>
          <w:szCs w:val="22"/>
        </w:rPr>
      </w:pPr>
      <w:r w:rsidRPr="00022A7F">
        <w:rPr>
          <w:b/>
          <w:sz w:val="22"/>
          <w:szCs w:val="22"/>
        </w:rPr>
        <w:tab/>
      </w:r>
      <w:r w:rsidRPr="00022A7F">
        <w:rPr>
          <w:b/>
          <w:sz w:val="22"/>
          <w:szCs w:val="22"/>
        </w:rPr>
        <w:tab/>
      </w:r>
      <w:r w:rsidRPr="00022A7F">
        <w:rPr>
          <w:b/>
          <w:sz w:val="22"/>
          <w:szCs w:val="22"/>
        </w:rPr>
        <w:tab/>
      </w:r>
    </w:p>
    <w:p w:rsidR="0012447E" w:rsidRDefault="0012447E" w:rsidP="00C635E4">
      <w:pPr>
        <w:pStyle w:val="BodyTextIndent2"/>
        <w:tabs>
          <w:tab w:val="left" w:pos="720"/>
        </w:tabs>
        <w:spacing w:after="0" w:line="240" w:lineRule="auto"/>
        <w:ind w:left="720"/>
        <w:jc w:val="both"/>
        <w:rPr>
          <w:b/>
          <w:sz w:val="22"/>
          <w:szCs w:val="22"/>
          <w:lang w:val="en-GB"/>
        </w:rPr>
      </w:pPr>
      <w:r w:rsidRPr="00C94987">
        <w:rPr>
          <w:b/>
          <w:sz w:val="22"/>
          <w:szCs w:val="22"/>
          <w:lang w:val="en-GB"/>
        </w:rPr>
        <w:t>For the quarter:</w:t>
      </w:r>
    </w:p>
    <w:p w:rsidR="0012447E" w:rsidRDefault="00E92D64" w:rsidP="00C635E4">
      <w:pPr>
        <w:pStyle w:val="BodyTextIndent2"/>
        <w:tabs>
          <w:tab w:val="left" w:pos="720"/>
        </w:tabs>
        <w:spacing w:after="0" w:line="240" w:lineRule="auto"/>
        <w:ind w:left="720"/>
        <w:jc w:val="both"/>
        <w:rPr>
          <w:sz w:val="22"/>
          <w:szCs w:val="22"/>
          <w:lang w:val="en-GB"/>
        </w:rPr>
      </w:pPr>
      <w:r>
        <w:rPr>
          <w:sz w:val="22"/>
          <w:szCs w:val="22"/>
          <w:lang w:val="en-GB"/>
        </w:rPr>
        <w:t>The revenue decreased by 122</w:t>
      </w:r>
      <w:r w:rsidR="0012447E">
        <w:rPr>
          <w:sz w:val="22"/>
          <w:szCs w:val="22"/>
          <w:lang w:val="en-GB"/>
        </w:rPr>
        <w:t>% due to a reversal of income that was over charged in the previous quarter. However, division recorded an i</w:t>
      </w:r>
      <w:r w:rsidR="00244218">
        <w:rPr>
          <w:sz w:val="22"/>
          <w:szCs w:val="22"/>
          <w:lang w:val="en-GB"/>
        </w:rPr>
        <w:t>ncrease in pre-tax profit of 309</w:t>
      </w:r>
      <w:r w:rsidR="0012447E">
        <w:rPr>
          <w:sz w:val="22"/>
          <w:szCs w:val="22"/>
          <w:lang w:val="en-GB"/>
        </w:rPr>
        <w:t>% due to   a gain on accretion of equit</w:t>
      </w:r>
      <w:r w:rsidR="0035066B">
        <w:rPr>
          <w:sz w:val="22"/>
          <w:szCs w:val="22"/>
          <w:lang w:val="en-GB"/>
        </w:rPr>
        <w:t>y interest in Trinity of RM50.79</w:t>
      </w:r>
      <w:r w:rsidR="0012447E">
        <w:rPr>
          <w:sz w:val="22"/>
          <w:szCs w:val="22"/>
          <w:lang w:val="en-GB"/>
        </w:rPr>
        <w:t xml:space="preserve"> million, a waiver of debt by a creditor of RM6.62 million, a reversal of provision for loss on fair value of short term investment of RM 5.04 million, but the increase was reduced by a provision for impairment in leasehold land of RM6.15 million. The gain on accretion</w:t>
      </w:r>
      <w:r w:rsidR="00134D66">
        <w:rPr>
          <w:sz w:val="22"/>
          <w:szCs w:val="22"/>
          <w:lang w:val="en-GB"/>
        </w:rPr>
        <w:t xml:space="preserve"> of equity interest</w:t>
      </w:r>
      <w:r w:rsidR="0012447E">
        <w:rPr>
          <w:sz w:val="22"/>
          <w:szCs w:val="22"/>
          <w:lang w:val="en-GB"/>
        </w:rPr>
        <w:t xml:space="preserve"> in Trinity arose when the group accounts for its</w:t>
      </w:r>
      <w:r w:rsidR="00134D66">
        <w:rPr>
          <w:sz w:val="22"/>
          <w:szCs w:val="22"/>
          <w:lang w:val="en-GB"/>
        </w:rPr>
        <w:t xml:space="preserve"> increased</w:t>
      </w:r>
      <w:r w:rsidR="0012447E">
        <w:rPr>
          <w:sz w:val="22"/>
          <w:szCs w:val="22"/>
          <w:lang w:val="en-GB"/>
        </w:rPr>
        <w:t xml:space="preserve"> share of Trinity’s net assets in propor</w:t>
      </w:r>
      <w:r w:rsidR="00134D66">
        <w:rPr>
          <w:sz w:val="22"/>
          <w:szCs w:val="22"/>
          <w:lang w:val="en-GB"/>
        </w:rPr>
        <w:t xml:space="preserve">tion to its </w:t>
      </w:r>
      <w:r w:rsidR="00134D66">
        <w:rPr>
          <w:sz w:val="22"/>
          <w:szCs w:val="22"/>
          <w:lang w:val="en-GB"/>
        </w:rPr>
        <w:lastRenderedPageBreak/>
        <w:t xml:space="preserve">higher equity shareholding as a result of conversion of Trinity financial </w:t>
      </w:r>
      <w:r w:rsidR="001D0CC4">
        <w:rPr>
          <w:sz w:val="22"/>
          <w:szCs w:val="22"/>
          <w:lang w:val="en-GB"/>
        </w:rPr>
        <w:t>instruments</w:t>
      </w:r>
      <w:r>
        <w:rPr>
          <w:sz w:val="22"/>
          <w:szCs w:val="22"/>
          <w:lang w:val="en-GB"/>
        </w:rPr>
        <w:t xml:space="preserve"> purchased</w:t>
      </w:r>
      <w:r w:rsidR="00134D66">
        <w:rPr>
          <w:sz w:val="22"/>
          <w:szCs w:val="22"/>
          <w:lang w:val="en-GB"/>
        </w:rPr>
        <w:t xml:space="preserve"> into Trinity shares during the year.</w:t>
      </w:r>
    </w:p>
    <w:p w:rsidR="0012447E" w:rsidRPr="00C94987" w:rsidRDefault="0012447E" w:rsidP="00C635E4">
      <w:pPr>
        <w:pStyle w:val="BodyTextIndent2"/>
        <w:tabs>
          <w:tab w:val="left" w:pos="720"/>
        </w:tabs>
        <w:spacing w:after="0" w:line="240" w:lineRule="auto"/>
        <w:ind w:left="720"/>
        <w:jc w:val="both"/>
        <w:rPr>
          <w:sz w:val="22"/>
          <w:szCs w:val="22"/>
          <w:lang w:val="en-GB"/>
        </w:rPr>
      </w:pPr>
    </w:p>
    <w:p w:rsidR="0012447E" w:rsidRPr="00C94987" w:rsidRDefault="0012447E" w:rsidP="00C635E4">
      <w:pPr>
        <w:pStyle w:val="BodyTextIndent2"/>
        <w:tabs>
          <w:tab w:val="left" w:pos="720"/>
        </w:tabs>
        <w:spacing w:after="0" w:line="240" w:lineRule="auto"/>
        <w:ind w:left="720"/>
        <w:jc w:val="both"/>
        <w:rPr>
          <w:b/>
          <w:sz w:val="22"/>
          <w:szCs w:val="22"/>
          <w:lang w:val="en-GB"/>
        </w:rPr>
      </w:pPr>
      <w:r w:rsidRPr="00C94987">
        <w:rPr>
          <w:b/>
          <w:sz w:val="22"/>
          <w:szCs w:val="22"/>
          <w:lang w:val="en-GB"/>
        </w:rPr>
        <w:t>For the year:</w:t>
      </w:r>
    </w:p>
    <w:p w:rsidR="0012447E" w:rsidRDefault="0012447E" w:rsidP="00C635E4">
      <w:pPr>
        <w:pStyle w:val="BodyTextIndent2"/>
        <w:tabs>
          <w:tab w:val="left" w:pos="720"/>
        </w:tabs>
        <w:spacing w:after="0" w:line="240" w:lineRule="auto"/>
        <w:ind w:left="720"/>
        <w:jc w:val="both"/>
        <w:rPr>
          <w:sz w:val="22"/>
          <w:szCs w:val="22"/>
          <w:lang w:val="en-GB"/>
        </w:rPr>
      </w:pPr>
      <w:proofErr w:type="gramStart"/>
      <w:r>
        <w:rPr>
          <w:sz w:val="22"/>
          <w:szCs w:val="22"/>
          <w:lang w:val="en-GB"/>
        </w:rPr>
        <w:t>Revenue for this division</w:t>
      </w:r>
      <w:r w:rsidRPr="00022A7F">
        <w:rPr>
          <w:sz w:val="22"/>
          <w:szCs w:val="22"/>
          <w:lang w:val="en-GB"/>
        </w:rPr>
        <w:t xml:space="preserve"> reduced </w:t>
      </w:r>
      <w:r w:rsidR="00E92D64">
        <w:rPr>
          <w:sz w:val="22"/>
          <w:szCs w:val="22"/>
          <w:lang w:val="en-GB"/>
        </w:rPr>
        <w:t>by 75</w:t>
      </w:r>
      <w:r>
        <w:rPr>
          <w:sz w:val="22"/>
          <w:szCs w:val="22"/>
          <w:lang w:val="en-GB"/>
        </w:rPr>
        <w:t xml:space="preserve">% due to lesser activity </w:t>
      </w:r>
      <w:r w:rsidRPr="00022A7F">
        <w:rPr>
          <w:sz w:val="22"/>
          <w:szCs w:val="22"/>
          <w:lang w:val="en-GB"/>
        </w:rPr>
        <w:t>during the year.</w:t>
      </w:r>
      <w:proofErr w:type="gramEnd"/>
      <w:r w:rsidRPr="00022A7F">
        <w:rPr>
          <w:sz w:val="22"/>
          <w:szCs w:val="22"/>
          <w:lang w:val="en-GB"/>
        </w:rPr>
        <w:t xml:space="preserve"> However</w:t>
      </w:r>
      <w:r>
        <w:rPr>
          <w:sz w:val="22"/>
          <w:szCs w:val="22"/>
          <w:lang w:val="en-GB"/>
        </w:rPr>
        <w:t>,</w:t>
      </w:r>
      <w:r w:rsidRPr="00022A7F">
        <w:rPr>
          <w:sz w:val="22"/>
          <w:szCs w:val="22"/>
          <w:lang w:val="en-GB"/>
        </w:rPr>
        <w:t xml:space="preserve"> the </w:t>
      </w:r>
      <w:r>
        <w:rPr>
          <w:sz w:val="22"/>
          <w:szCs w:val="22"/>
          <w:lang w:val="en-GB"/>
        </w:rPr>
        <w:t>division recorded an i</w:t>
      </w:r>
      <w:r w:rsidR="00134D66">
        <w:rPr>
          <w:sz w:val="22"/>
          <w:szCs w:val="22"/>
          <w:lang w:val="en-GB"/>
        </w:rPr>
        <w:t>ncrease in pre-tax profit of 308</w:t>
      </w:r>
      <w:r>
        <w:rPr>
          <w:sz w:val="22"/>
          <w:szCs w:val="22"/>
          <w:lang w:val="en-GB"/>
        </w:rPr>
        <w:t>% mainly due to a gain</w:t>
      </w:r>
      <w:r w:rsidRPr="00022A7F">
        <w:rPr>
          <w:sz w:val="22"/>
          <w:szCs w:val="22"/>
          <w:lang w:val="en-GB"/>
        </w:rPr>
        <w:t xml:space="preserve"> of RM44.2</w:t>
      </w:r>
      <w:r>
        <w:rPr>
          <w:sz w:val="22"/>
          <w:szCs w:val="22"/>
          <w:lang w:val="en-GB"/>
        </w:rPr>
        <w:t>0</w:t>
      </w:r>
      <w:r w:rsidRPr="00022A7F">
        <w:rPr>
          <w:sz w:val="22"/>
          <w:szCs w:val="22"/>
          <w:lang w:val="en-GB"/>
        </w:rPr>
        <w:t xml:space="preserve"> million resulting from redemption and cancellation of 346.04 million</w:t>
      </w:r>
      <w:r>
        <w:rPr>
          <w:sz w:val="22"/>
          <w:szCs w:val="22"/>
          <w:lang w:val="en-GB"/>
        </w:rPr>
        <w:t xml:space="preserve"> loan stocks by Trinity, a gain</w:t>
      </w:r>
      <w:r w:rsidRPr="00022A7F">
        <w:rPr>
          <w:sz w:val="22"/>
          <w:szCs w:val="22"/>
          <w:lang w:val="en-GB"/>
        </w:rPr>
        <w:t xml:space="preserve"> of RM4.27 million on dispo</w:t>
      </w:r>
      <w:r>
        <w:rPr>
          <w:sz w:val="22"/>
          <w:szCs w:val="22"/>
          <w:lang w:val="en-GB"/>
        </w:rPr>
        <w:t xml:space="preserve">sal of sale of investments </w:t>
      </w:r>
      <w:r w:rsidRPr="00022A7F">
        <w:rPr>
          <w:sz w:val="22"/>
          <w:szCs w:val="22"/>
          <w:lang w:val="en-GB"/>
        </w:rPr>
        <w:t xml:space="preserve">and </w:t>
      </w:r>
      <w:r>
        <w:rPr>
          <w:sz w:val="22"/>
          <w:szCs w:val="22"/>
          <w:lang w:val="en-GB"/>
        </w:rPr>
        <w:t xml:space="preserve">a gain on </w:t>
      </w:r>
      <w:r w:rsidRPr="00022A7F">
        <w:rPr>
          <w:sz w:val="22"/>
          <w:szCs w:val="22"/>
          <w:lang w:val="en-GB"/>
        </w:rPr>
        <w:t>accretion of equity intere</w:t>
      </w:r>
      <w:r>
        <w:rPr>
          <w:sz w:val="22"/>
          <w:szCs w:val="22"/>
          <w:lang w:val="en-GB"/>
        </w:rPr>
        <w:t>st in Trinity of RM 52.67 million as mentioned above. The increase, however, was reduced</w:t>
      </w:r>
      <w:r w:rsidRPr="00022A7F">
        <w:rPr>
          <w:sz w:val="22"/>
          <w:szCs w:val="22"/>
          <w:lang w:val="en-GB"/>
        </w:rPr>
        <w:t xml:space="preserve"> by the provision for impairment on leasehold land amounting to RM6.1</w:t>
      </w:r>
      <w:r>
        <w:rPr>
          <w:sz w:val="22"/>
          <w:szCs w:val="22"/>
          <w:lang w:val="en-GB"/>
        </w:rPr>
        <w:t xml:space="preserve">5 million. </w:t>
      </w:r>
    </w:p>
    <w:p w:rsidR="0012447E" w:rsidRPr="00166CC2" w:rsidRDefault="0012447E" w:rsidP="00C635E4">
      <w:pPr>
        <w:pStyle w:val="BodyTextIndent2"/>
        <w:tabs>
          <w:tab w:val="left" w:pos="720"/>
        </w:tabs>
        <w:spacing w:after="0" w:line="240" w:lineRule="auto"/>
        <w:ind w:left="720"/>
        <w:jc w:val="both"/>
        <w:rPr>
          <w:sz w:val="22"/>
          <w:szCs w:val="22"/>
          <w:highlight w:val="yellow"/>
          <w:lang w:val="en-GB"/>
        </w:rPr>
      </w:pPr>
    </w:p>
    <w:p w:rsidR="0012447E" w:rsidRPr="003A48E0" w:rsidRDefault="0012447E" w:rsidP="00CD1702">
      <w:pPr>
        <w:pStyle w:val="BodyTextIndent2"/>
        <w:tabs>
          <w:tab w:val="left" w:pos="720"/>
        </w:tabs>
        <w:spacing w:after="0" w:line="240" w:lineRule="auto"/>
        <w:ind w:left="720" w:hanging="720"/>
        <w:jc w:val="both"/>
        <w:rPr>
          <w:b/>
          <w:bCs/>
          <w:sz w:val="22"/>
          <w:szCs w:val="22"/>
        </w:rPr>
      </w:pPr>
      <w:r w:rsidRPr="003A48E0">
        <w:rPr>
          <w:b/>
          <w:bCs/>
          <w:sz w:val="22"/>
          <w:szCs w:val="22"/>
        </w:rPr>
        <w:t xml:space="preserve">B2. </w:t>
      </w:r>
      <w:r w:rsidRPr="003A48E0">
        <w:rPr>
          <w:b/>
          <w:bCs/>
          <w:sz w:val="22"/>
          <w:szCs w:val="22"/>
        </w:rPr>
        <w:tab/>
        <w:t>Comparison with Preceding Quarter’s Results</w:t>
      </w:r>
    </w:p>
    <w:p w:rsidR="0012447E" w:rsidRPr="003A48E0" w:rsidRDefault="0012447E" w:rsidP="00CD1702">
      <w:pPr>
        <w:pStyle w:val="BodyTextIndent2"/>
        <w:tabs>
          <w:tab w:val="left" w:pos="720"/>
        </w:tabs>
        <w:spacing w:after="0" w:line="240" w:lineRule="auto"/>
        <w:ind w:left="720" w:hanging="720"/>
        <w:jc w:val="both"/>
        <w:rPr>
          <w:b/>
          <w:bCs/>
          <w:sz w:val="22"/>
          <w:szCs w:val="22"/>
        </w:rPr>
      </w:pPr>
    </w:p>
    <w:p w:rsidR="0012447E" w:rsidRPr="003A48E0" w:rsidRDefault="0012447E" w:rsidP="00CD1702">
      <w:pPr>
        <w:pStyle w:val="BodyTextIndent2"/>
        <w:tabs>
          <w:tab w:val="left" w:pos="720"/>
        </w:tabs>
        <w:spacing w:after="0" w:line="240" w:lineRule="auto"/>
        <w:ind w:left="720" w:hanging="720"/>
        <w:jc w:val="both"/>
        <w:rPr>
          <w:b/>
          <w:bCs/>
          <w:sz w:val="22"/>
          <w:szCs w:val="22"/>
        </w:rPr>
      </w:pPr>
      <w:r w:rsidRPr="003A48E0">
        <w:rPr>
          <w:b/>
          <w:bCs/>
          <w:sz w:val="22"/>
          <w:szCs w:val="22"/>
        </w:rPr>
        <w:tab/>
        <w:t>Overall:</w:t>
      </w:r>
    </w:p>
    <w:p w:rsidR="0012447E" w:rsidRPr="003A48E0" w:rsidRDefault="0012447E" w:rsidP="00CD1702">
      <w:pPr>
        <w:pStyle w:val="BodyTextIndent2"/>
        <w:tabs>
          <w:tab w:val="left" w:pos="720"/>
        </w:tabs>
        <w:spacing w:after="0" w:line="240" w:lineRule="auto"/>
        <w:ind w:left="720" w:hanging="720"/>
        <w:jc w:val="both"/>
        <w:rPr>
          <w:bCs/>
          <w:sz w:val="22"/>
          <w:szCs w:val="22"/>
        </w:rPr>
      </w:pPr>
      <w:r w:rsidRPr="003A48E0">
        <w:rPr>
          <w:b/>
          <w:bCs/>
          <w:sz w:val="22"/>
          <w:szCs w:val="22"/>
        </w:rPr>
        <w:tab/>
      </w:r>
      <w:r w:rsidRPr="003A48E0">
        <w:rPr>
          <w:bCs/>
          <w:sz w:val="22"/>
          <w:szCs w:val="22"/>
        </w:rPr>
        <w:t>For the 4</w:t>
      </w:r>
      <w:r w:rsidRPr="003A48E0">
        <w:rPr>
          <w:bCs/>
          <w:sz w:val="22"/>
          <w:szCs w:val="22"/>
          <w:vertAlign w:val="superscript"/>
        </w:rPr>
        <w:t>th</w:t>
      </w:r>
      <w:r w:rsidRPr="003A48E0">
        <w:rPr>
          <w:bCs/>
          <w:sz w:val="22"/>
          <w:szCs w:val="22"/>
        </w:rPr>
        <w:t xml:space="preserve"> quarte</w:t>
      </w:r>
      <w:r>
        <w:rPr>
          <w:bCs/>
          <w:sz w:val="22"/>
          <w:szCs w:val="22"/>
        </w:rPr>
        <w:t xml:space="preserve">r of financial year, the Group achieved a </w:t>
      </w:r>
      <w:r w:rsidRPr="003A48E0">
        <w:rPr>
          <w:bCs/>
          <w:sz w:val="22"/>
          <w:szCs w:val="22"/>
        </w:rPr>
        <w:t>total revenue of RM 4.9</w:t>
      </w:r>
      <w:r>
        <w:rPr>
          <w:bCs/>
          <w:sz w:val="22"/>
          <w:szCs w:val="22"/>
        </w:rPr>
        <w:t>6 million and pre-tax profit of RM29.82 million</w:t>
      </w:r>
      <w:r w:rsidR="0035066B">
        <w:rPr>
          <w:bCs/>
          <w:sz w:val="22"/>
          <w:szCs w:val="22"/>
        </w:rPr>
        <w:t xml:space="preserve"> against total revenue of RM3.84</w:t>
      </w:r>
      <w:r>
        <w:rPr>
          <w:bCs/>
          <w:sz w:val="22"/>
          <w:szCs w:val="22"/>
        </w:rPr>
        <w:t xml:space="preserve"> mil</w:t>
      </w:r>
      <w:r w:rsidR="0035066B">
        <w:rPr>
          <w:bCs/>
          <w:sz w:val="22"/>
          <w:szCs w:val="22"/>
        </w:rPr>
        <w:t>lion and pre-tax profit of RM1.33</w:t>
      </w:r>
      <w:r>
        <w:rPr>
          <w:bCs/>
          <w:sz w:val="22"/>
          <w:szCs w:val="22"/>
        </w:rPr>
        <w:t xml:space="preserve"> million of the preceding period. The increase in pre-tax profit was due mainly due to the gain on</w:t>
      </w:r>
      <w:r w:rsidRPr="003A48E0">
        <w:rPr>
          <w:bCs/>
          <w:sz w:val="22"/>
          <w:szCs w:val="22"/>
        </w:rPr>
        <w:t xml:space="preserve"> accre</w:t>
      </w:r>
      <w:r>
        <w:rPr>
          <w:bCs/>
          <w:sz w:val="22"/>
          <w:szCs w:val="22"/>
        </w:rPr>
        <w:t>tion of equity interest in Trinity of RM 50.79</w:t>
      </w:r>
      <w:r w:rsidRPr="003A48E0">
        <w:rPr>
          <w:bCs/>
          <w:sz w:val="22"/>
          <w:szCs w:val="22"/>
        </w:rPr>
        <w:t xml:space="preserve"> million</w:t>
      </w:r>
      <w:r>
        <w:rPr>
          <w:bCs/>
          <w:sz w:val="22"/>
          <w:szCs w:val="22"/>
        </w:rPr>
        <w:t xml:space="preserve"> as mentioned above, the waiver of debt by a creditor amounting to RM6.62 million and the reversal of provision </w:t>
      </w:r>
      <w:proofErr w:type="gramStart"/>
      <w:r>
        <w:rPr>
          <w:bCs/>
          <w:sz w:val="22"/>
          <w:szCs w:val="22"/>
        </w:rPr>
        <w:t>for  loss</w:t>
      </w:r>
      <w:proofErr w:type="gramEnd"/>
      <w:r>
        <w:rPr>
          <w:bCs/>
          <w:sz w:val="22"/>
          <w:szCs w:val="22"/>
        </w:rPr>
        <w:t xml:space="preserve"> on fair value of short term investment of RM5.04 million. The increase in pre-tax profit was, however, reduced by the provision for impairment of leasehold land of RM6.15 million and impairment of goodwill in investment of RM0.34 million.</w:t>
      </w:r>
    </w:p>
    <w:p w:rsidR="0012447E" w:rsidRDefault="0012447E" w:rsidP="00D33932">
      <w:pPr>
        <w:pStyle w:val="BodyTextIndent2"/>
        <w:tabs>
          <w:tab w:val="left" w:pos="720"/>
        </w:tabs>
        <w:spacing w:after="0" w:line="240" w:lineRule="auto"/>
        <w:ind w:left="720" w:hanging="720"/>
        <w:jc w:val="both"/>
        <w:rPr>
          <w:sz w:val="22"/>
          <w:szCs w:val="22"/>
          <w:highlight w:val="yellow"/>
          <w:lang w:val="en-GB"/>
        </w:rPr>
      </w:pPr>
      <w:r w:rsidRPr="0008699A">
        <w:rPr>
          <w:b/>
          <w:bCs/>
          <w:sz w:val="22"/>
          <w:szCs w:val="22"/>
        </w:rPr>
        <w:tab/>
      </w:r>
    </w:p>
    <w:p w:rsidR="0012447E" w:rsidRDefault="0012447E" w:rsidP="00D34B48">
      <w:pPr>
        <w:pStyle w:val="BodyTextIndent2"/>
        <w:tabs>
          <w:tab w:val="left" w:pos="1575"/>
        </w:tabs>
        <w:spacing w:after="0" w:line="240" w:lineRule="auto"/>
        <w:ind w:left="720"/>
        <w:jc w:val="both"/>
        <w:rPr>
          <w:color w:val="0000FF"/>
          <w:sz w:val="22"/>
          <w:szCs w:val="22"/>
          <w:lang w:val="en-GB"/>
        </w:rPr>
      </w:pPr>
    </w:p>
    <w:p w:rsidR="0012447E" w:rsidRPr="00FB6F73" w:rsidRDefault="0012447E" w:rsidP="00524839">
      <w:pPr>
        <w:pStyle w:val="BodyTextIndent2"/>
        <w:tabs>
          <w:tab w:val="left" w:pos="360"/>
        </w:tabs>
        <w:spacing w:after="0" w:line="240" w:lineRule="auto"/>
        <w:ind w:left="0"/>
        <w:jc w:val="both"/>
        <w:rPr>
          <w:b/>
          <w:sz w:val="22"/>
          <w:szCs w:val="22"/>
          <w:lang w:val="en-GB"/>
        </w:rPr>
      </w:pPr>
      <w:r w:rsidRPr="00FB6F73">
        <w:rPr>
          <w:b/>
          <w:sz w:val="22"/>
          <w:szCs w:val="22"/>
          <w:lang w:val="en-GB"/>
        </w:rPr>
        <w:t>B3.</w:t>
      </w:r>
      <w:r w:rsidRPr="00FB6F73">
        <w:rPr>
          <w:b/>
          <w:sz w:val="22"/>
          <w:szCs w:val="22"/>
          <w:lang w:val="en-GB"/>
        </w:rPr>
        <w:tab/>
      </w:r>
      <w:r w:rsidRPr="00FB6F73">
        <w:rPr>
          <w:b/>
          <w:sz w:val="22"/>
          <w:szCs w:val="22"/>
          <w:lang w:val="en-GB"/>
        </w:rPr>
        <w:tab/>
        <w:t>Prospects</w:t>
      </w:r>
    </w:p>
    <w:p w:rsidR="0012447E" w:rsidRPr="00FB6F73" w:rsidRDefault="0012447E" w:rsidP="00524839">
      <w:pPr>
        <w:pStyle w:val="BodyTextIndent2"/>
        <w:tabs>
          <w:tab w:val="left" w:pos="360"/>
        </w:tabs>
        <w:spacing w:after="0" w:line="240" w:lineRule="auto"/>
        <w:ind w:left="0"/>
        <w:jc w:val="both"/>
        <w:rPr>
          <w:b/>
          <w:sz w:val="22"/>
          <w:szCs w:val="22"/>
          <w:lang w:val="en-GB"/>
        </w:rPr>
      </w:pPr>
    </w:p>
    <w:p w:rsidR="0012447E" w:rsidRPr="00526154" w:rsidRDefault="0012447E" w:rsidP="00526154">
      <w:pPr>
        <w:spacing w:before="100" w:beforeAutospacing="1" w:after="100" w:afterAutospacing="1"/>
        <w:ind w:left="720" w:hanging="720"/>
        <w:jc w:val="both"/>
        <w:rPr>
          <w:color w:val="000000"/>
          <w:sz w:val="22"/>
          <w:szCs w:val="22"/>
          <w:lang w:val="en-MY" w:eastAsia="en-MY"/>
        </w:rPr>
      </w:pPr>
      <w:r w:rsidRPr="00F4268D">
        <w:rPr>
          <w:sz w:val="22"/>
          <w:szCs w:val="22"/>
          <w:lang w:val="en-GB"/>
        </w:rPr>
        <w:t>(a)</w:t>
      </w:r>
      <w:r w:rsidRPr="00F4268D">
        <w:rPr>
          <w:sz w:val="22"/>
          <w:szCs w:val="22"/>
          <w:lang w:val="en-GB"/>
        </w:rPr>
        <w:tab/>
      </w:r>
      <w:r>
        <w:rPr>
          <w:color w:val="000000"/>
          <w:sz w:val="22"/>
          <w:szCs w:val="22"/>
          <w:lang w:val="en-MY" w:eastAsia="en-MY"/>
        </w:rPr>
        <w:t xml:space="preserve">West Coast Expressway </w:t>
      </w:r>
      <w:proofErr w:type="spellStart"/>
      <w:r>
        <w:rPr>
          <w:color w:val="000000"/>
          <w:sz w:val="22"/>
          <w:szCs w:val="22"/>
          <w:lang w:val="en-MY" w:eastAsia="en-MY"/>
        </w:rPr>
        <w:t>Sdn</w:t>
      </w:r>
      <w:proofErr w:type="spellEnd"/>
      <w:r>
        <w:rPr>
          <w:color w:val="000000"/>
          <w:sz w:val="22"/>
          <w:szCs w:val="22"/>
          <w:lang w:val="en-MY" w:eastAsia="en-MY"/>
        </w:rPr>
        <w:t xml:space="preserve"> </w:t>
      </w:r>
      <w:proofErr w:type="spellStart"/>
      <w:r>
        <w:rPr>
          <w:color w:val="000000"/>
          <w:sz w:val="22"/>
          <w:szCs w:val="22"/>
          <w:lang w:val="en-MY" w:eastAsia="en-MY"/>
        </w:rPr>
        <w:t>Bhd</w:t>
      </w:r>
      <w:proofErr w:type="spellEnd"/>
      <w:r>
        <w:rPr>
          <w:color w:val="000000"/>
          <w:sz w:val="22"/>
          <w:szCs w:val="22"/>
          <w:lang w:val="en-MY" w:eastAsia="en-MY"/>
        </w:rPr>
        <w:t xml:space="preserve"> (WCE</w:t>
      </w:r>
      <w:r w:rsidRPr="00526154">
        <w:rPr>
          <w:color w:val="000000"/>
          <w:sz w:val="22"/>
          <w:szCs w:val="22"/>
          <w:lang w:val="en-MY" w:eastAsia="en-MY"/>
        </w:rPr>
        <w:t>), a 64.2% subsidiary company of the Company, has received an approval letter dated 26 January 2012 from the Public Private Partnership Unit of the Prime Minister’s Department for WCE to undertake the Proposed Privatization of the Construction of the West Coast Expressway.</w:t>
      </w:r>
    </w:p>
    <w:p w:rsidR="0012447E" w:rsidRPr="00526154" w:rsidRDefault="0012447E" w:rsidP="00526154">
      <w:pPr>
        <w:spacing w:before="100" w:beforeAutospacing="1" w:after="100" w:afterAutospacing="1"/>
        <w:ind w:left="720"/>
        <w:jc w:val="both"/>
        <w:rPr>
          <w:color w:val="000000"/>
          <w:sz w:val="22"/>
          <w:szCs w:val="22"/>
          <w:lang w:val="en-MY" w:eastAsia="en-MY"/>
        </w:rPr>
      </w:pPr>
      <w:r w:rsidRPr="00526154">
        <w:rPr>
          <w:color w:val="000000"/>
          <w:sz w:val="22"/>
          <w:szCs w:val="22"/>
          <w:lang w:val="en-MY" w:eastAsia="en-MY"/>
        </w:rPr>
        <w:t xml:space="preserve">The Concession from </w:t>
      </w:r>
      <w:proofErr w:type="spellStart"/>
      <w:r w:rsidRPr="00526154">
        <w:rPr>
          <w:color w:val="000000"/>
          <w:sz w:val="22"/>
          <w:szCs w:val="22"/>
          <w:lang w:val="en-MY" w:eastAsia="en-MY"/>
        </w:rPr>
        <w:t>Banting</w:t>
      </w:r>
      <w:proofErr w:type="spellEnd"/>
      <w:r w:rsidRPr="00526154">
        <w:rPr>
          <w:color w:val="000000"/>
          <w:sz w:val="22"/>
          <w:szCs w:val="22"/>
          <w:lang w:val="en-MY" w:eastAsia="en-MY"/>
        </w:rPr>
        <w:t xml:space="preserve"> in Selangor to </w:t>
      </w:r>
      <w:proofErr w:type="spellStart"/>
      <w:r w:rsidRPr="00526154">
        <w:rPr>
          <w:color w:val="000000"/>
          <w:sz w:val="22"/>
          <w:szCs w:val="22"/>
          <w:lang w:val="en-MY" w:eastAsia="en-MY"/>
        </w:rPr>
        <w:t>Taiping</w:t>
      </w:r>
      <w:proofErr w:type="spellEnd"/>
      <w:r w:rsidRPr="00526154">
        <w:rPr>
          <w:color w:val="000000"/>
          <w:sz w:val="22"/>
          <w:szCs w:val="22"/>
          <w:lang w:val="en-MY" w:eastAsia="en-MY"/>
        </w:rPr>
        <w:t xml:space="preserve"> in Perak will cover a distance of 316km, of which 224km will be tolled while 92km will be toll- free. The estimated Project cost is RM7.07 billion. </w:t>
      </w:r>
    </w:p>
    <w:p w:rsidR="0012447E" w:rsidRPr="00526154" w:rsidRDefault="0012447E" w:rsidP="00365033">
      <w:pPr>
        <w:spacing w:before="100" w:beforeAutospacing="1" w:after="100" w:afterAutospacing="1"/>
        <w:ind w:left="927" w:hanging="207"/>
        <w:jc w:val="both"/>
        <w:rPr>
          <w:color w:val="000000"/>
          <w:sz w:val="22"/>
          <w:szCs w:val="22"/>
          <w:lang w:val="en-MY" w:eastAsia="en-MY"/>
        </w:rPr>
      </w:pPr>
      <w:r w:rsidRPr="00526154">
        <w:rPr>
          <w:color w:val="000000"/>
          <w:sz w:val="22"/>
          <w:szCs w:val="22"/>
          <w:lang w:val="en-MY" w:eastAsia="en-MY"/>
        </w:rPr>
        <w:t xml:space="preserve">Among the principle terms agreed are as follows:- </w:t>
      </w:r>
    </w:p>
    <w:p w:rsidR="0012447E" w:rsidRPr="00526154" w:rsidRDefault="0012447E" w:rsidP="00365033">
      <w:pPr>
        <w:spacing w:before="100" w:beforeAutospacing="1" w:after="100" w:afterAutospacing="1"/>
        <w:ind w:left="567" w:firstLine="153"/>
        <w:jc w:val="both"/>
        <w:rPr>
          <w:color w:val="000000"/>
          <w:sz w:val="22"/>
          <w:szCs w:val="22"/>
          <w:lang w:val="en-MY" w:eastAsia="en-MY"/>
        </w:rPr>
      </w:pPr>
      <w:r w:rsidRPr="00526154">
        <w:rPr>
          <w:color w:val="000000"/>
          <w:sz w:val="22"/>
          <w:szCs w:val="22"/>
          <w:lang w:val="en-MY" w:eastAsia="en-MY"/>
        </w:rPr>
        <w:t>(</w:t>
      </w:r>
      <w:proofErr w:type="spellStart"/>
      <w:r w:rsidRPr="00526154">
        <w:rPr>
          <w:color w:val="000000"/>
          <w:sz w:val="22"/>
          <w:szCs w:val="22"/>
          <w:lang w:val="en-MY" w:eastAsia="en-MY"/>
        </w:rPr>
        <w:t>i</w:t>
      </w:r>
      <w:proofErr w:type="spellEnd"/>
      <w:r w:rsidRPr="00526154">
        <w:rPr>
          <w:color w:val="000000"/>
          <w:sz w:val="22"/>
          <w:szCs w:val="22"/>
          <w:lang w:val="en-MY" w:eastAsia="en-MY"/>
        </w:rPr>
        <w:t xml:space="preserve">) </w:t>
      </w:r>
      <w:proofErr w:type="gramStart"/>
      <w:r w:rsidRPr="00526154">
        <w:rPr>
          <w:color w:val="000000"/>
          <w:sz w:val="22"/>
          <w:szCs w:val="22"/>
          <w:lang w:val="en-MY" w:eastAsia="en-MY"/>
        </w:rPr>
        <w:t>the</w:t>
      </w:r>
      <w:proofErr w:type="gramEnd"/>
      <w:r w:rsidRPr="00526154">
        <w:rPr>
          <w:color w:val="000000"/>
          <w:sz w:val="22"/>
          <w:szCs w:val="22"/>
          <w:lang w:val="en-MY" w:eastAsia="en-MY"/>
        </w:rPr>
        <w:t xml:space="preserve"> Project is a build-operate-transfer (BOT) project with a concession period of 60 years;</w:t>
      </w:r>
    </w:p>
    <w:p w:rsidR="0012447E" w:rsidRPr="00526154" w:rsidRDefault="0012447E" w:rsidP="00365033">
      <w:pPr>
        <w:spacing w:before="100" w:beforeAutospacing="1" w:after="100" w:afterAutospacing="1"/>
        <w:ind w:left="720"/>
        <w:jc w:val="both"/>
        <w:rPr>
          <w:color w:val="000000"/>
          <w:sz w:val="22"/>
          <w:szCs w:val="22"/>
          <w:lang w:val="en-MY" w:eastAsia="en-MY"/>
        </w:rPr>
      </w:pPr>
      <w:r w:rsidRPr="00526154">
        <w:rPr>
          <w:color w:val="000000"/>
          <w:sz w:val="22"/>
          <w:szCs w:val="22"/>
          <w:lang w:val="en-MY" w:eastAsia="en-MY"/>
        </w:rPr>
        <w:t xml:space="preserve">(ii) </w:t>
      </w:r>
      <w:proofErr w:type="gramStart"/>
      <w:r w:rsidRPr="00526154">
        <w:rPr>
          <w:color w:val="000000"/>
          <w:sz w:val="22"/>
          <w:szCs w:val="22"/>
          <w:lang w:val="en-MY" w:eastAsia="en-MY"/>
        </w:rPr>
        <w:t>to</w:t>
      </w:r>
      <w:proofErr w:type="gramEnd"/>
      <w:r w:rsidRPr="00526154">
        <w:rPr>
          <w:color w:val="000000"/>
          <w:sz w:val="22"/>
          <w:szCs w:val="22"/>
          <w:lang w:val="en-MY" w:eastAsia="en-MY"/>
        </w:rPr>
        <w:t xml:space="preserve"> enhance the viability of the Proje</w:t>
      </w:r>
      <w:r>
        <w:rPr>
          <w:color w:val="000000"/>
          <w:sz w:val="22"/>
          <w:szCs w:val="22"/>
          <w:lang w:val="en-MY" w:eastAsia="en-MY"/>
        </w:rPr>
        <w:t>ct, a Government Support Loan (GSL</w:t>
      </w:r>
      <w:r w:rsidRPr="00526154">
        <w:rPr>
          <w:color w:val="000000"/>
          <w:sz w:val="22"/>
          <w:szCs w:val="22"/>
          <w:lang w:val="en-MY" w:eastAsia="en-MY"/>
        </w:rPr>
        <w:t xml:space="preserve">) of RM2.24 billion, commencing from year 2013 at an interest rate of 4% per annum, and an interest subsidy, of up to 3% from commercial loans for a period of 22 years, will be granted to WCE. The terms of the GSL and the interest subsidy will be finalized by WCE with the Ministry of Finance; </w:t>
      </w:r>
    </w:p>
    <w:p w:rsidR="0012447E" w:rsidRPr="00526154" w:rsidRDefault="0012447E" w:rsidP="00365033">
      <w:pPr>
        <w:spacing w:before="100" w:beforeAutospacing="1" w:after="100" w:afterAutospacing="1"/>
        <w:ind w:left="720"/>
        <w:jc w:val="both"/>
        <w:rPr>
          <w:color w:val="000000"/>
          <w:sz w:val="22"/>
          <w:szCs w:val="22"/>
          <w:lang w:val="en-MY" w:eastAsia="en-MY"/>
        </w:rPr>
      </w:pPr>
      <w:r w:rsidRPr="00526154">
        <w:rPr>
          <w:color w:val="000000"/>
          <w:sz w:val="22"/>
          <w:szCs w:val="22"/>
          <w:lang w:val="en-MY" w:eastAsia="en-MY"/>
        </w:rPr>
        <w:t xml:space="preserve">(iii) </w:t>
      </w:r>
      <w:proofErr w:type="gramStart"/>
      <w:r w:rsidRPr="00526154">
        <w:rPr>
          <w:color w:val="000000"/>
          <w:sz w:val="22"/>
          <w:szCs w:val="22"/>
          <w:lang w:val="en-MY" w:eastAsia="en-MY"/>
        </w:rPr>
        <w:t>toll</w:t>
      </w:r>
      <w:proofErr w:type="gramEnd"/>
      <w:r w:rsidRPr="00526154">
        <w:rPr>
          <w:color w:val="000000"/>
          <w:sz w:val="22"/>
          <w:szCs w:val="22"/>
          <w:lang w:val="en-MY" w:eastAsia="en-MY"/>
        </w:rPr>
        <w:t xml:space="preserve"> revenue in excess of an agreed traffic volume will be shared on the basis of 70:30 between the Government of Malaysia (“GOM”) and WCE till full settlement of the GSL and subsequently 30:70 after the settlement of the GSL; </w:t>
      </w:r>
    </w:p>
    <w:p w:rsidR="0012447E" w:rsidRPr="00526154" w:rsidRDefault="0012447E" w:rsidP="00365033">
      <w:pPr>
        <w:spacing w:before="100" w:beforeAutospacing="1" w:after="100" w:afterAutospacing="1"/>
        <w:ind w:left="720"/>
        <w:jc w:val="both"/>
        <w:rPr>
          <w:color w:val="000000"/>
          <w:sz w:val="22"/>
          <w:szCs w:val="22"/>
          <w:lang w:val="en-MY" w:eastAsia="en-MY"/>
        </w:rPr>
      </w:pPr>
      <w:r w:rsidRPr="00526154">
        <w:rPr>
          <w:color w:val="000000"/>
          <w:sz w:val="22"/>
          <w:szCs w:val="22"/>
          <w:lang w:val="en-MY" w:eastAsia="en-MY"/>
        </w:rPr>
        <w:lastRenderedPageBreak/>
        <w:t xml:space="preserve">(iv) </w:t>
      </w:r>
      <w:proofErr w:type="gramStart"/>
      <w:r w:rsidRPr="00526154">
        <w:rPr>
          <w:color w:val="000000"/>
          <w:sz w:val="22"/>
          <w:szCs w:val="22"/>
          <w:lang w:val="en-MY" w:eastAsia="en-MY"/>
        </w:rPr>
        <w:t>the</w:t>
      </w:r>
      <w:proofErr w:type="gramEnd"/>
      <w:r w:rsidRPr="00526154">
        <w:rPr>
          <w:color w:val="000000"/>
          <w:sz w:val="22"/>
          <w:szCs w:val="22"/>
          <w:lang w:val="en-MY" w:eastAsia="en-MY"/>
        </w:rPr>
        <w:t xml:space="preserve"> land acquisition cost of up to RM980 million for the Project will be borne by the </w:t>
      </w:r>
      <w:r>
        <w:rPr>
          <w:color w:val="000000"/>
          <w:sz w:val="22"/>
          <w:szCs w:val="22"/>
          <w:lang w:val="en-MY" w:eastAsia="en-MY"/>
        </w:rPr>
        <w:t>GOM.</w:t>
      </w:r>
    </w:p>
    <w:p w:rsidR="0012447E" w:rsidRDefault="0012447E" w:rsidP="00365033">
      <w:pPr>
        <w:tabs>
          <w:tab w:val="left" w:pos="1260"/>
        </w:tabs>
        <w:ind w:left="1260" w:hanging="540"/>
        <w:jc w:val="both"/>
        <w:rPr>
          <w:sz w:val="22"/>
          <w:szCs w:val="22"/>
        </w:rPr>
      </w:pPr>
      <w:r w:rsidRPr="00F4268D">
        <w:rPr>
          <w:sz w:val="22"/>
          <w:szCs w:val="22"/>
        </w:rPr>
        <w:t xml:space="preserve">The Directors are of the opinion that long term viability </w:t>
      </w:r>
      <w:r>
        <w:rPr>
          <w:sz w:val="22"/>
          <w:szCs w:val="22"/>
        </w:rPr>
        <w:t>of the WCE project will further</w:t>
      </w:r>
    </w:p>
    <w:p w:rsidR="0012447E" w:rsidRPr="00F4268D" w:rsidRDefault="0012447E" w:rsidP="00365033">
      <w:pPr>
        <w:tabs>
          <w:tab w:val="left" w:pos="1260"/>
        </w:tabs>
        <w:ind w:left="1260" w:hanging="540"/>
        <w:jc w:val="both"/>
        <w:rPr>
          <w:sz w:val="22"/>
          <w:szCs w:val="22"/>
        </w:rPr>
      </w:pPr>
      <w:r>
        <w:rPr>
          <w:sz w:val="22"/>
          <w:szCs w:val="22"/>
        </w:rPr>
        <w:t xml:space="preserve"> </w:t>
      </w:r>
      <w:proofErr w:type="gramStart"/>
      <w:r>
        <w:rPr>
          <w:sz w:val="22"/>
          <w:szCs w:val="22"/>
        </w:rPr>
        <w:t>enhance</w:t>
      </w:r>
      <w:proofErr w:type="gramEnd"/>
      <w:r w:rsidRPr="00F4268D">
        <w:rPr>
          <w:sz w:val="22"/>
          <w:szCs w:val="22"/>
        </w:rPr>
        <w:t xml:space="preserve"> the future earnings and financial position of the Group.  </w:t>
      </w:r>
    </w:p>
    <w:p w:rsidR="0012447E" w:rsidRPr="00166CC2" w:rsidRDefault="0012447E" w:rsidP="00582B8E">
      <w:pPr>
        <w:ind w:left="720"/>
        <w:jc w:val="both"/>
        <w:rPr>
          <w:sz w:val="22"/>
          <w:szCs w:val="22"/>
          <w:highlight w:val="yellow"/>
        </w:rPr>
      </w:pPr>
    </w:p>
    <w:p w:rsidR="0012447E" w:rsidRDefault="0012447E" w:rsidP="00365033">
      <w:pPr>
        <w:ind w:left="720" w:hanging="720"/>
        <w:jc w:val="both"/>
        <w:rPr>
          <w:sz w:val="22"/>
          <w:szCs w:val="22"/>
          <w:lang w:val="en-GB"/>
        </w:rPr>
      </w:pPr>
      <w:r w:rsidRPr="008C495C">
        <w:rPr>
          <w:sz w:val="22"/>
          <w:szCs w:val="22"/>
        </w:rPr>
        <w:t>(b)</w:t>
      </w:r>
      <w:r w:rsidRPr="008C495C">
        <w:rPr>
          <w:sz w:val="22"/>
          <w:szCs w:val="22"/>
        </w:rPr>
        <w:tab/>
        <w:t xml:space="preserve">Radiant Pillar </w:t>
      </w:r>
      <w:proofErr w:type="spellStart"/>
      <w:r w:rsidRPr="008C495C">
        <w:rPr>
          <w:sz w:val="22"/>
          <w:szCs w:val="22"/>
        </w:rPr>
        <w:t>Sdn</w:t>
      </w:r>
      <w:proofErr w:type="spellEnd"/>
      <w:r w:rsidRPr="008C495C">
        <w:rPr>
          <w:sz w:val="22"/>
          <w:szCs w:val="22"/>
        </w:rPr>
        <w:t xml:space="preserve"> </w:t>
      </w:r>
      <w:proofErr w:type="spellStart"/>
      <w:r w:rsidRPr="008C495C">
        <w:rPr>
          <w:sz w:val="22"/>
          <w:szCs w:val="22"/>
        </w:rPr>
        <w:t>Bhd</w:t>
      </w:r>
      <w:proofErr w:type="spellEnd"/>
      <w:r w:rsidRPr="008C495C">
        <w:rPr>
          <w:sz w:val="22"/>
          <w:szCs w:val="22"/>
        </w:rPr>
        <w:t xml:space="preserve"> (RPSB), a 50%-owned associate, which was alienated 1,877.87 acres of land by the State Government of Selangor pursuant to a settlement agreement dated 13 August 2010, intends to launch property development projects in the second half of 2012.</w:t>
      </w:r>
    </w:p>
    <w:p w:rsidR="0012447E" w:rsidRDefault="0012447E" w:rsidP="00582B8E">
      <w:pPr>
        <w:ind w:left="720"/>
        <w:jc w:val="both"/>
        <w:rPr>
          <w:sz w:val="22"/>
          <w:szCs w:val="22"/>
          <w:lang w:val="en-GB"/>
        </w:rPr>
      </w:pPr>
    </w:p>
    <w:p w:rsidR="0012447E" w:rsidRPr="00743520" w:rsidRDefault="0012447E" w:rsidP="00D733BF">
      <w:pPr>
        <w:pStyle w:val="BodyTextIndent2"/>
        <w:tabs>
          <w:tab w:val="left" w:pos="360"/>
        </w:tabs>
        <w:spacing w:after="0" w:line="240" w:lineRule="auto"/>
        <w:ind w:left="0"/>
        <w:jc w:val="both"/>
        <w:rPr>
          <w:b/>
          <w:sz w:val="22"/>
          <w:szCs w:val="22"/>
          <w:lang w:val="en-GB"/>
        </w:rPr>
      </w:pPr>
      <w:r w:rsidRPr="00743520">
        <w:rPr>
          <w:b/>
          <w:sz w:val="22"/>
          <w:szCs w:val="22"/>
          <w:lang w:val="en-GB"/>
        </w:rPr>
        <w:t>B4.</w:t>
      </w:r>
      <w:r w:rsidRPr="00743520">
        <w:rPr>
          <w:b/>
          <w:sz w:val="22"/>
          <w:szCs w:val="22"/>
          <w:lang w:val="en-GB"/>
        </w:rPr>
        <w:tab/>
      </w:r>
      <w:r w:rsidRPr="00743520">
        <w:rPr>
          <w:b/>
          <w:sz w:val="22"/>
          <w:szCs w:val="22"/>
          <w:lang w:val="en-GB"/>
        </w:rPr>
        <w:tab/>
        <w:t>Profit Forecast and Guarantee</w:t>
      </w:r>
    </w:p>
    <w:p w:rsidR="0012447E" w:rsidRPr="00743520" w:rsidRDefault="0012447E" w:rsidP="00D733BF">
      <w:pPr>
        <w:pStyle w:val="BodyTextIndent2"/>
        <w:tabs>
          <w:tab w:val="left" w:pos="360"/>
        </w:tabs>
        <w:spacing w:after="0" w:line="240" w:lineRule="auto"/>
        <w:ind w:left="0"/>
        <w:jc w:val="both"/>
        <w:rPr>
          <w:b/>
          <w:sz w:val="22"/>
          <w:szCs w:val="22"/>
          <w:lang w:val="en-GB"/>
        </w:rPr>
      </w:pPr>
    </w:p>
    <w:p w:rsidR="0012447E" w:rsidRDefault="0012447E" w:rsidP="0033471C">
      <w:pPr>
        <w:pStyle w:val="BodyTextIndent2"/>
        <w:spacing w:after="0" w:line="240" w:lineRule="auto"/>
        <w:ind w:firstLine="360"/>
        <w:jc w:val="both"/>
        <w:rPr>
          <w:sz w:val="22"/>
          <w:szCs w:val="22"/>
          <w:lang w:val="en-GB"/>
        </w:rPr>
      </w:pPr>
      <w:r w:rsidRPr="00743520">
        <w:rPr>
          <w:sz w:val="22"/>
          <w:szCs w:val="22"/>
          <w:lang w:val="en-GB"/>
        </w:rPr>
        <w:t xml:space="preserve">No profit forecast or guarantee was issued in respect of the current </w:t>
      </w:r>
      <w:r>
        <w:rPr>
          <w:sz w:val="22"/>
          <w:szCs w:val="22"/>
          <w:lang w:val="en-GB"/>
        </w:rPr>
        <w:t>financial year.</w:t>
      </w:r>
    </w:p>
    <w:p w:rsidR="0012447E" w:rsidRPr="00743520" w:rsidRDefault="0012447E" w:rsidP="0033471C">
      <w:pPr>
        <w:pStyle w:val="BodyTextIndent2"/>
        <w:spacing w:after="0" w:line="240" w:lineRule="auto"/>
        <w:ind w:firstLine="360"/>
        <w:jc w:val="both"/>
        <w:rPr>
          <w:sz w:val="22"/>
          <w:szCs w:val="22"/>
          <w:lang w:val="en-GB"/>
        </w:rPr>
      </w:pPr>
    </w:p>
    <w:p w:rsidR="0012447E" w:rsidRDefault="0012447E" w:rsidP="000D13F0">
      <w:pPr>
        <w:pStyle w:val="BodyTextIndent2"/>
        <w:tabs>
          <w:tab w:val="left" w:pos="1440"/>
        </w:tabs>
        <w:spacing w:after="0" w:line="240" w:lineRule="auto"/>
        <w:ind w:left="0"/>
        <w:jc w:val="both"/>
        <w:rPr>
          <w:b/>
          <w:sz w:val="16"/>
          <w:szCs w:val="16"/>
          <w:lang w:val="en-GB"/>
        </w:rPr>
      </w:pPr>
      <w:r>
        <w:rPr>
          <w:b/>
          <w:sz w:val="16"/>
          <w:szCs w:val="16"/>
          <w:lang w:val="en-GB"/>
        </w:rPr>
        <w:tab/>
      </w:r>
    </w:p>
    <w:p w:rsidR="0012447E" w:rsidRDefault="0012447E" w:rsidP="00E2018C">
      <w:pPr>
        <w:pStyle w:val="BodyTextIndent2"/>
        <w:tabs>
          <w:tab w:val="left" w:pos="360"/>
        </w:tabs>
        <w:spacing w:after="0" w:line="240" w:lineRule="auto"/>
        <w:ind w:left="0"/>
        <w:jc w:val="both"/>
        <w:rPr>
          <w:b/>
          <w:sz w:val="22"/>
          <w:szCs w:val="22"/>
          <w:lang w:val="en-GB"/>
        </w:rPr>
      </w:pPr>
      <w:r w:rsidRPr="005D45EB">
        <w:rPr>
          <w:b/>
          <w:sz w:val="22"/>
          <w:szCs w:val="22"/>
          <w:lang w:val="en-GB"/>
        </w:rPr>
        <w:t>B5.</w:t>
      </w:r>
      <w:r w:rsidRPr="005D45EB">
        <w:rPr>
          <w:b/>
          <w:sz w:val="22"/>
          <w:szCs w:val="22"/>
          <w:lang w:val="en-GB"/>
        </w:rPr>
        <w:tab/>
      </w:r>
      <w:r w:rsidRPr="005D45EB">
        <w:rPr>
          <w:b/>
          <w:sz w:val="22"/>
          <w:szCs w:val="22"/>
          <w:lang w:val="en-GB"/>
        </w:rPr>
        <w:tab/>
      </w:r>
      <w:r>
        <w:rPr>
          <w:b/>
          <w:sz w:val="22"/>
          <w:szCs w:val="22"/>
          <w:lang w:val="en-GB"/>
        </w:rPr>
        <w:t xml:space="preserve">Taxation </w:t>
      </w:r>
    </w:p>
    <w:p w:rsidR="0012447E" w:rsidRPr="005D45EB" w:rsidRDefault="0012447E" w:rsidP="00E2018C">
      <w:pPr>
        <w:pStyle w:val="BodyTextIndent2"/>
        <w:tabs>
          <w:tab w:val="left" w:pos="360"/>
        </w:tabs>
        <w:spacing w:after="0" w:line="240" w:lineRule="auto"/>
        <w:ind w:left="0"/>
        <w:jc w:val="both"/>
        <w:rPr>
          <w:b/>
          <w:sz w:val="22"/>
          <w:szCs w:val="22"/>
          <w:lang w:val="en-GB"/>
        </w:rPr>
      </w:pPr>
    </w:p>
    <w:tbl>
      <w:tblPr>
        <w:tblW w:w="8337" w:type="dxa"/>
        <w:tblInd w:w="817" w:type="dxa"/>
        <w:tblLayout w:type="fixed"/>
        <w:tblLook w:val="01E0"/>
      </w:tblPr>
      <w:tblGrid>
        <w:gridCol w:w="1451"/>
        <w:gridCol w:w="1308"/>
        <w:gridCol w:w="259"/>
        <w:gridCol w:w="1634"/>
        <w:gridCol w:w="259"/>
        <w:gridCol w:w="1468"/>
        <w:gridCol w:w="324"/>
        <w:gridCol w:w="1634"/>
      </w:tblGrid>
      <w:tr w:rsidR="0012447E" w:rsidRPr="002A7494" w:rsidTr="007C5606">
        <w:tc>
          <w:tcPr>
            <w:tcW w:w="1451" w:type="dxa"/>
          </w:tcPr>
          <w:p w:rsidR="0012447E" w:rsidRPr="002A7494" w:rsidRDefault="0012447E" w:rsidP="007C5606">
            <w:pPr>
              <w:pStyle w:val="BodyTextIndent2"/>
              <w:spacing w:after="0" w:line="240" w:lineRule="auto"/>
              <w:ind w:left="0"/>
              <w:jc w:val="both"/>
              <w:rPr>
                <w:sz w:val="22"/>
                <w:szCs w:val="22"/>
              </w:rPr>
            </w:pPr>
          </w:p>
        </w:tc>
        <w:tc>
          <w:tcPr>
            <w:tcW w:w="3201" w:type="dxa"/>
            <w:gridSpan w:val="3"/>
          </w:tcPr>
          <w:p w:rsidR="0012447E" w:rsidRPr="002A7494" w:rsidRDefault="0012447E" w:rsidP="007C5606">
            <w:pPr>
              <w:pStyle w:val="BodyTextIndent2"/>
              <w:spacing w:after="0" w:line="240" w:lineRule="auto"/>
              <w:ind w:left="0"/>
              <w:jc w:val="center"/>
              <w:rPr>
                <w:b/>
                <w:sz w:val="22"/>
                <w:szCs w:val="22"/>
              </w:rPr>
            </w:pPr>
            <w:r w:rsidRPr="002A7494">
              <w:rPr>
                <w:b/>
                <w:sz w:val="22"/>
                <w:szCs w:val="22"/>
              </w:rPr>
              <w:t>Individual Quarter</w:t>
            </w:r>
          </w:p>
        </w:tc>
        <w:tc>
          <w:tcPr>
            <w:tcW w:w="259" w:type="dxa"/>
          </w:tcPr>
          <w:p w:rsidR="0012447E" w:rsidRPr="002A7494" w:rsidRDefault="0012447E" w:rsidP="007C5606">
            <w:pPr>
              <w:pStyle w:val="BodyTextIndent2"/>
              <w:spacing w:after="0" w:line="240" w:lineRule="auto"/>
              <w:ind w:left="0"/>
              <w:jc w:val="both"/>
              <w:rPr>
                <w:b/>
                <w:sz w:val="22"/>
                <w:szCs w:val="22"/>
              </w:rPr>
            </w:pPr>
          </w:p>
        </w:tc>
        <w:tc>
          <w:tcPr>
            <w:tcW w:w="3426" w:type="dxa"/>
            <w:gridSpan w:val="3"/>
          </w:tcPr>
          <w:p w:rsidR="0012447E" w:rsidRPr="002A7494" w:rsidRDefault="0012447E" w:rsidP="007C5606">
            <w:pPr>
              <w:pStyle w:val="BodyTextIndent2"/>
              <w:spacing w:after="0" w:line="240" w:lineRule="auto"/>
              <w:ind w:left="0"/>
              <w:jc w:val="center"/>
              <w:rPr>
                <w:b/>
                <w:sz w:val="22"/>
                <w:szCs w:val="22"/>
              </w:rPr>
            </w:pPr>
            <w:r w:rsidRPr="002A7494">
              <w:rPr>
                <w:b/>
                <w:sz w:val="22"/>
                <w:szCs w:val="22"/>
              </w:rPr>
              <w:t xml:space="preserve">Cumulative Period </w:t>
            </w:r>
          </w:p>
        </w:tc>
      </w:tr>
      <w:tr w:rsidR="0012447E" w:rsidRPr="002A7494" w:rsidTr="007C5606">
        <w:tc>
          <w:tcPr>
            <w:tcW w:w="1451" w:type="dxa"/>
          </w:tcPr>
          <w:p w:rsidR="0012447E" w:rsidRPr="002A7494" w:rsidRDefault="0012447E" w:rsidP="007C5606">
            <w:pPr>
              <w:pStyle w:val="BodyTextIndent2"/>
              <w:spacing w:after="0" w:line="240" w:lineRule="auto"/>
              <w:ind w:left="0"/>
              <w:jc w:val="both"/>
              <w:rPr>
                <w:sz w:val="22"/>
                <w:szCs w:val="22"/>
              </w:rPr>
            </w:pPr>
          </w:p>
        </w:tc>
        <w:tc>
          <w:tcPr>
            <w:tcW w:w="1308" w:type="dxa"/>
          </w:tcPr>
          <w:p w:rsidR="0012447E" w:rsidRPr="002A7494" w:rsidRDefault="0012447E" w:rsidP="007C5606">
            <w:pPr>
              <w:pStyle w:val="BodyTextIndent2"/>
              <w:spacing w:after="0" w:line="240" w:lineRule="auto"/>
              <w:ind w:left="0"/>
              <w:jc w:val="right"/>
              <w:rPr>
                <w:b/>
                <w:sz w:val="22"/>
                <w:szCs w:val="22"/>
              </w:rPr>
            </w:pPr>
            <w:r w:rsidRPr="002A7494">
              <w:rPr>
                <w:b/>
                <w:sz w:val="22"/>
                <w:szCs w:val="22"/>
              </w:rPr>
              <w:t>Current</w:t>
            </w:r>
          </w:p>
          <w:p w:rsidR="0012447E" w:rsidRPr="002A7494" w:rsidRDefault="0012447E" w:rsidP="007C5606">
            <w:pPr>
              <w:pStyle w:val="BodyTextIndent2"/>
              <w:spacing w:after="0" w:line="240" w:lineRule="auto"/>
              <w:ind w:left="0"/>
              <w:jc w:val="right"/>
              <w:rPr>
                <w:b/>
                <w:sz w:val="22"/>
                <w:szCs w:val="22"/>
              </w:rPr>
            </w:pPr>
            <w:r w:rsidRPr="002A7494">
              <w:rPr>
                <w:b/>
                <w:sz w:val="22"/>
                <w:szCs w:val="22"/>
              </w:rPr>
              <w:t>Year</w:t>
            </w:r>
          </w:p>
          <w:p w:rsidR="0012447E" w:rsidRPr="002A7494" w:rsidRDefault="0012447E" w:rsidP="007C5606">
            <w:pPr>
              <w:pStyle w:val="BodyTextIndent2"/>
              <w:spacing w:after="0" w:line="240" w:lineRule="auto"/>
              <w:ind w:left="0"/>
              <w:jc w:val="right"/>
              <w:rPr>
                <w:b/>
                <w:sz w:val="22"/>
                <w:szCs w:val="22"/>
              </w:rPr>
            </w:pPr>
            <w:r w:rsidRPr="002A7494">
              <w:rPr>
                <w:b/>
                <w:sz w:val="22"/>
                <w:szCs w:val="22"/>
              </w:rPr>
              <w:t>Quarter</w:t>
            </w:r>
          </w:p>
        </w:tc>
        <w:tc>
          <w:tcPr>
            <w:tcW w:w="259" w:type="dxa"/>
          </w:tcPr>
          <w:p w:rsidR="0012447E" w:rsidRPr="002A7494" w:rsidRDefault="0012447E" w:rsidP="007C5606">
            <w:pPr>
              <w:pStyle w:val="BodyTextIndent2"/>
              <w:spacing w:after="0" w:line="240" w:lineRule="auto"/>
              <w:ind w:left="0"/>
              <w:jc w:val="right"/>
              <w:rPr>
                <w:b/>
                <w:sz w:val="22"/>
                <w:szCs w:val="22"/>
              </w:rPr>
            </w:pPr>
          </w:p>
        </w:tc>
        <w:tc>
          <w:tcPr>
            <w:tcW w:w="1634" w:type="dxa"/>
          </w:tcPr>
          <w:p w:rsidR="0012447E" w:rsidRPr="002A7494" w:rsidRDefault="0012447E" w:rsidP="007C5606">
            <w:pPr>
              <w:pStyle w:val="BodyTextIndent2"/>
              <w:spacing w:after="0" w:line="240" w:lineRule="auto"/>
              <w:ind w:left="0"/>
              <w:jc w:val="right"/>
              <w:rPr>
                <w:b/>
                <w:sz w:val="22"/>
                <w:szCs w:val="22"/>
              </w:rPr>
            </w:pPr>
            <w:r w:rsidRPr="002A7494">
              <w:rPr>
                <w:b/>
                <w:sz w:val="22"/>
                <w:szCs w:val="22"/>
              </w:rPr>
              <w:t xml:space="preserve">Preceding Year </w:t>
            </w:r>
          </w:p>
          <w:p w:rsidR="0012447E" w:rsidRPr="002A7494" w:rsidRDefault="0012447E" w:rsidP="007C5606">
            <w:pPr>
              <w:pStyle w:val="BodyTextIndent2"/>
              <w:spacing w:after="0" w:line="240" w:lineRule="auto"/>
              <w:ind w:left="0"/>
              <w:jc w:val="right"/>
              <w:rPr>
                <w:b/>
                <w:sz w:val="22"/>
                <w:szCs w:val="22"/>
              </w:rPr>
            </w:pPr>
            <w:r w:rsidRPr="002A7494">
              <w:rPr>
                <w:b/>
                <w:sz w:val="22"/>
                <w:szCs w:val="22"/>
              </w:rPr>
              <w:t>Quarter</w:t>
            </w:r>
          </w:p>
        </w:tc>
        <w:tc>
          <w:tcPr>
            <w:tcW w:w="259" w:type="dxa"/>
          </w:tcPr>
          <w:p w:rsidR="0012447E" w:rsidRPr="002A7494" w:rsidRDefault="0012447E" w:rsidP="007C5606">
            <w:pPr>
              <w:pStyle w:val="BodyTextIndent2"/>
              <w:spacing w:after="0" w:line="240" w:lineRule="auto"/>
              <w:ind w:left="0"/>
              <w:jc w:val="right"/>
              <w:rPr>
                <w:b/>
                <w:sz w:val="22"/>
                <w:szCs w:val="22"/>
              </w:rPr>
            </w:pPr>
          </w:p>
        </w:tc>
        <w:tc>
          <w:tcPr>
            <w:tcW w:w="1468" w:type="dxa"/>
          </w:tcPr>
          <w:p w:rsidR="0012447E" w:rsidRPr="002A7494" w:rsidRDefault="0012447E" w:rsidP="007C5606">
            <w:pPr>
              <w:pStyle w:val="BodyTextIndent2"/>
              <w:spacing w:after="0" w:line="240" w:lineRule="auto"/>
              <w:ind w:left="0"/>
              <w:jc w:val="right"/>
              <w:rPr>
                <w:b/>
                <w:sz w:val="22"/>
                <w:szCs w:val="22"/>
              </w:rPr>
            </w:pPr>
            <w:r w:rsidRPr="002A7494">
              <w:rPr>
                <w:b/>
                <w:sz w:val="22"/>
                <w:szCs w:val="22"/>
              </w:rPr>
              <w:t>Current</w:t>
            </w:r>
          </w:p>
          <w:p w:rsidR="0012447E" w:rsidRPr="002A7494" w:rsidRDefault="0012447E" w:rsidP="007C5606">
            <w:pPr>
              <w:pStyle w:val="BodyTextIndent2"/>
              <w:spacing w:after="0" w:line="240" w:lineRule="auto"/>
              <w:ind w:left="0"/>
              <w:jc w:val="right"/>
              <w:rPr>
                <w:b/>
                <w:sz w:val="22"/>
                <w:szCs w:val="22"/>
              </w:rPr>
            </w:pPr>
            <w:r w:rsidRPr="002A7494">
              <w:rPr>
                <w:b/>
                <w:sz w:val="22"/>
                <w:szCs w:val="22"/>
              </w:rPr>
              <w:t>Year</w:t>
            </w:r>
          </w:p>
          <w:p w:rsidR="0012447E" w:rsidRPr="002A7494" w:rsidRDefault="0012447E" w:rsidP="007C5606">
            <w:pPr>
              <w:pStyle w:val="BodyTextIndent2"/>
              <w:spacing w:after="0" w:line="240" w:lineRule="auto"/>
              <w:ind w:left="0"/>
              <w:jc w:val="right"/>
              <w:rPr>
                <w:b/>
                <w:sz w:val="22"/>
                <w:szCs w:val="22"/>
              </w:rPr>
            </w:pPr>
            <w:r w:rsidRPr="002A7494">
              <w:rPr>
                <w:b/>
                <w:sz w:val="22"/>
                <w:szCs w:val="22"/>
              </w:rPr>
              <w:t>To-date</w:t>
            </w:r>
          </w:p>
        </w:tc>
        <w:tc>
          <w:tcPr>
            <w:tcW w:w="324" w:type="dxa"/>
          </w:tcPr>
          <w:p w:rsidR="0012447E" w:rsidRPr="002A7494" w:rsidRDefault="0012447E" w:rsidP="007C5606">
            <w:pPr>
              <w:pStyle w:val="BodyTextIndent2"/>
              <w:spacing w:after="0" w:line="240" w:lineRule="auto"/>
              <w:ind w:left="0"/>
              <w:jc w:val="right"/>
              <w:rPr>
                <w:b/>
                <w:sz w:val="22"/>
                <w:szCs w:val="22"/>
              </w:rPr>
            </w:pPr>
          </w:p>
        </w:tc>
        <w:tc>
          <w:tcPr>
            <w:tcW w:w="1634" w:type="dxa"/>
          </w:tcPr>
          <w:p w:rsidR="0012447E" w:rsidRPr="002A7494" w:rsidRDefault="0012447E" w:rsidP="007C5606">
            <w:pPr>
              <w:pStyle w:val="BodyTextIndent2"/>
              <w:spacing w:after="0" w:line="240" w:lineRule="auto"/>
              <w:ind w:left="0"/>
              <w:jc w:val="right"/>
              <w:rPr>
                <w:b/>
                <w:sz w:val="22"/>
                <w:szCs w:val="22"/>
              </w:rPr>
            </w:pPr>
            <w:r w:rsidRPr="002A7494">
              <w:rPr>
                <w:b/>
                <w:sz w:val="22"/>
                <w:szCs w:val="22"/>
              </w:rPr>
              <w:t xml:space="preserve">Preceding Year </w:t>
            </w:r>
          </w:p>
          <w:p w:rsidR="0012447E" w:rsidRPr="002A7494" w:rsidRDefault="0012447E" w:rsidP="007C5606">
            <w:pPr>
              <w:pStyle w:val="BodyTextIndent2"/>
              <w:spacing w:after="0" w:line="240" w:lineRule="auto"/>
              <w:ind w:left="0"/>
              <w:jc w:val="right"/>
              <w:rPr>
                <w:b/>
                <w:sz w:val="22"/>
                <w:szCs w:val="22"/>
              </w:rPr>
            </w:pPr>
            <w:r w:rsidRPr="002A7494">
              <w:rPr>
                <w:b/>
                <w:sz w:val="22"/>
                <w:szCs w:val="22"/>
              </w:rPr>
              <w:t>To-date</w:t>
            </w:r>
          </w:p>
        </w:tc>
      </w:tr>
      <w:tr w:rsidR="0012447E" w:rsidRPr="002A7494" w:rsidTr="007C5606">
        <w:tc>
          <w:tcPr>
            <w:tcW w:w="1451" w:type="dxa"/>
          </w:tcPr>
          <w:p w:rsidR="0012447E" w:rsidRPr="002A7494" w:rsidRDefault="0012447E" w:rsidP="007C5606">
            <w:pPr>
              <w:pStyle w:val="BodyTextIndent2"/>
              <w:spacing w:after="0" w:line="240" w:lineRule="auto"/>
              <w:ind w:left="0"/>
              <w:jc w:val="both"/>
              <w:rPr>
                <w:sz w:val="22"/>
                <w:szCs w:val="22"/>
              </w:rPr>
            </w:pPr>
          </w:p>
        </w:tc>
        <w:tc>
          <w:tcPr>
            <w:tcW w:w="1308" w:type="dxa"/>
          </w:tcPr>
          <w:p w:rsidR="0012447E" w:rsidRPr="002A7494" w:rsidRDefault="0012447E" w:rsidP="007C5606">
            <w:pPr>
              <w:pStyle w:val="BodyTextIndent2"/>
              <w:spacing w:after="0" w:line="240" w:lineRule="auto"/>
              <w:ind w:left="0"/>
              <w:jc w:val="right"/>
              <w:rPr>
                <w:b/>
                <w:sz w:val="22"/>
                <w:szCs w:val="22"/>
              </w:rPr>
            </w:pPr>
            <w:r w:rsidRPr="002A7494">
              <w:rPr>
                <w:b/>
                <w:sz w:val="22"/>
                <w:szCs w:val="22"/>
              </w:rPr>
              <w:t>31/01/2012</w:t>
            </w:r>
          </w:p>
        </w:tc>
        <w:tc>
          <w:tcPr>
            <w:tcW w:w="259" w:type="dxa"/>
          </w:tcPr>
          <w:p w:rsidR="0012447E" w:rsidRPr="002A7494" w:rsidRDefault="0012447E" w:rsidP="007C5606">
            <w:pPr>
              <w:pStyle w:val="BodyTextIndent2"/>
              <w:spacing w:after="0" w:line="240" w:lineRule="auto"/>
              <w:ind w:left="0"/>
              <w:jc w:val="right"/>
              <w:rPr>
                <w:b/>
                <w:sz w:val="22"/>
                <w:szCs w:val="22"/>
              </w:rPr>
            </w:pPr>
          </w:p>
        </w:tc>
        <w:tc>
          <w:tcPr>
            <w:tcW w:w="1634" w:type="dxa"/>
          </w:tcPr>
          <w:p w:rsidR="0012447E" w:rsidRPr="002A7494" w:rsidRDefault="0012447E" w:rsidP="007C5606">
            <w:pPr>
              <w:pStyle w:val="BodyTextIndent2"/>
              <w:spacing w:after="0" w:line="240" w:lineRule="auto"/>
              <w:ind w:left="0"/>
              <w:jc w:val="right"/>
              <w:rPr>
                <w:b/>
                <w:sz w:val="22"/>
                <w:szCs w:val="22"/>
              </w:rPr>
            </w:pPr>
            <w:r w:rsidRPr="002A7494">
              <w:rPr>
                <w:b/>
                <w:sz w:val="22"/>
                <w:szCs w:val="22"/>
              </w:rPr>
              <w:t>31/01/2011</w:t>
            </w:r>
          </w:p>
        </w:tc>
        <w:tc>
          <w:tcPr>
            <w:tcW w:w="259" w:type="dxa"/>
          </w:tcPr>
          <w:p w:rsidR="0012447E" w:rsidRPr="002A7494" w:rsidRDefault="0012447E" w:rsidP="007C5606">
            <w:pPr>
              <w:pStyle w:val="BodyTextIndent2"/>
              <w:spacing w:after="0" w:line="240" w:lineRule="auto"/>
              <w:ind w:left="0"/>
              <w:jc w:val="right"/>
              <w:rPr>
                <w:b/>
                <w:sz w:val="22"/>
                <w:szCs w:val="22"/>
              </w:rPr>
            </w:pPr>
          </w:p>
        </w:tc>
        <w:tc>
          <w:tcPr>
            <w:tcW w:w="1468" w:type="dxa"/>
          </w:tcPr>
          <w:p w:rsidR="0012447E" w:rsidRPr="002A7494" w:rsidRDefault="0012447E" w:rsidP="007C5606">
            <w:pPr>
              <w:pStyle w:val="BodyTextIndent2"/>
              <w:spacing w:after="0" w:line="240" w:lineRule="auto"/>
              <w:ind w:left="0"/>
              <w:jc w:val="right"/>
              <w:rPr>
                <w:b/>
                <w:sz w:val="22"/>
                <w:szCs w:val="22"/>
              </w:rPr>
            </w:pPr>
            <w:r w:rsidRPr="002A7494">
              <w:rPr>
                <w:b/>
                <w:sz w:val="22"/>
                <w:szCs w:val="22"/>
              </w:rPr>
              <w:t>31/01/2012</w:t>
            </w:r>
          </w:p>
        </w:tc>
        <w:tc>
          <w:tcPr>
            <w:tcW w:w="324" w:type="dxa"/>
          </w:tcPr>
          <w:p w:rsidR="0012447E" w:rsidRPr="002A7494" w:rsidRDefault="0012447E" w:rsidP="007C5606">
            <w:pPr>
              <w:pStyle w:val="BodyTextIndent2"/>
              <w:spacing w:after="0" w:line="240" w:lineRule="auto"/>
              <w:ind w:left="0"/>
              <w:jc w:val="right"/>
              <w:rPr>
                <w:b/>
                <w:sz w:val="22"/>
                <w:szCs w:val="22"/>
              </w:rPr>
            </w:pPr>
          </w:p>
        </w:tc>
        <w:tc>
          <w:tcPr>
            <w:tcW w:w="1634" w:type="dxa"/>
          </w:tcPr>
          <w:p w:rsidR="0012447E" w:rsidRPr="002A7494" w:rsidRDefault="0012447E" w:rsidP="007C5606">
            <w:pPr>
              <w:pStyle w:val="BodyTextIndent2"/>
              <w:spacing w:after="0" w:line="240" w:lineRule="auto"/>
              <w:ind w:left="0"/>
              <w:jc w:val="right"/>
              <w:rPr>
                <w:b/>
                <w:sz w:val="22"/>
                <w:szCs w:val="22"/>
              </w:rPr>
            </w:pPr>
            <w:r w:rsidRPr="002A7494">
              <w:rPr>
                <w:b/>
                <w:sz w:val="22"/>
                <w:szCs w:val="22"/>
              </w:rPr>
              <w:t>31/01/2011</w:t>
            </w:r>
          </w:p>
        </w:tc>
      </w:tr>
      <w:tr w:rsidR="0012447E" w:rsidRPr="002A7494" w:rsidTr="007C5606">
        <w:tc>
          <w:tcPr>
            <w:tcW w:w="1451" w:type="dxa"/>
          </w:tcPr>
          <w:p w:rsidR="0012447E" w:rsidRPr="002A7494" w:rsidRDefault="0012447E" w:rsidP="007C5606">
            <w:pPr>
              <w:pStyle w:val="BodyTextIndent2"/>
              <w:spacing w:after="0" w:line="240" w:lineRule="auto"/>
              <w:ind w:left="0"/>
              <w:jc w:val="both"/>
              <w:rPr>
                <w:sz w:val="22"/>
                <w:szCs w:val="22"/>
              </w:rPr>
            </w:pPr>
          </w:p>
        </w:tc>
        <w:tc>
          <w:tcPr>
            <w:tcW w:w="1308" w:type="dxa"/>
          </w:tcPr>
          <w:p w:rsidR="0012447E" w:rsidRPr="002A7494" w:rsidRDefault="0012447E" w:rsidP="007C5606">
            <w:pPr>
              <w:pStyle w:val="BodyTextIndent2"/>
              <w:spacing w:after="0" w:line="240" w:lineRule="auto"/>
              <w:ind w:left="0"/>
              <w:jc w:val="right"/>
              <w:rPr>
                <w:b/>
                <w:sz w:val="22"/>
                <w:szCs w:val="22"/>
              </w:rPr>
            </w:pPr>
            <w:r w:rsidRPr="002A7494">
              <w:rPr>
                <w:b/>
                <w:sz w:val="22"/>
                <w:szCs w:val="22"/>
              </w:rPr>
              <w:t>RM’000</w:t>
            </w:r>
          </w:p>
        </w:tc>
        <w:tc>
          <w:tcPr>
            <w:tcW w:w="259" w:type="dxa"/>
          </w:tcPr>
          <w:p w:rsidR="0012447E" w:rsidRPr="002A7494" w:rsidRDefault="0012447E" w:rsidP="007C5606">
            <w:pPr>
              <w:pStyle w:val="BodyTextIndent2"/>
              <w:spacing w:after="0" w:line="240" w:lineRule="auto"/>
              <w:ind w:left="0"/>
              <w:jc w:val="right"/>
              <w:rPr>
                <w:b/>
                <w:sz w:val="22"/>
                <w:szCs w:val="22"/>
              </w:rPr>
            </w:pPr>
          </w:p>
        </w:tc>
        <w:tc>
          <w:tcPr>
            <w:tcW w:w="1634" w:type="dxa"/>
          </w:tcPr>
          <w:p w:rsidR="0012447E" w:rsidRPr="002A7494" w:rsidRDefault="0012447E" w:rsidP="007C5606">
            <w:pPr>
              <w:pStyle w:val="BodyTextIndent2"/>
              <w:spacing w:after="0" w:line="240" w:lineRule="auto"/>
              <w:ind w:left="0"/>
              <w:jc w:val="right"/>
              <w:rPr>
                <w:b/>
                <w:sz w:val="22"/>
                <w:szCs w:val="22"/>
              </w:rPr>
            </w:pPr>
            <w:r w:rsidRPr="002A7494">
              <w:rPr>
                <w:b/>
                <w:sz w:val="22"/>
                <w:szCs w:val="22"/>
              </w:rPr>
              <w:t>RM’000</w:t>
            </w:r>
          </w:p>
        </w:tc>
        <w:tc>
          <w:tcPr>
            <w:tcW w:w="259" w:type="dxa"/>
          </w:tcPr>
          <w:p w:rsidR="0012447E" w:rsidRPr="002A7494" w:rsidRDefault="0012447E" w:rsidP="007C5606">
            <w:pPr>
              <w:pStyle w:val="BodyTextIndent2"/>
              <w:spacing w:after="0" w:line="240" w:lineRule="auto"/>
              <w:ind w:left="0"/>
              <w:jc w:val="right"/>
              <w:rPr>
                <w:b/>
                <w:sz w:val="22"/>
                <w:szCs w:val="22"/>
              </w:rPr>
            </w:pPr>
          </w:p>
        </w:tc>
        <w:tc>
          <w:tcPr>
            <w:tcW w:w="1468" w:type="dxa"/>
          </w:tcPr>
          <w:p w:rsidR="0012447E" w:rsidRPr="002A7494" w:rsidRDefault="0012447E" w:rsidP="007C5606">
            <w:pPr>
              <w:pStyle w:val="BodyTextIndent2"/>
              <w:spacing w:after="0" w:line="240" w:lineRule="auto"/>
              <w:ind w:left="0"/>
              <w:jc w:val="right"/>
              <w:rPr>
                <w:b/>
                <w:sz w:val="22"/>
                <w:szCs w:val="22"/>
              </w:rPr>
            </w:pPr>
            <w:r w:rsidRPr="002A7494">
              <w:rPr>
                <w:b/>
                <w:sz w:val="22"/>
                <w:szCs w:val="22"/>
              </w:rPr>
              <w:t>RM’000</w:t>
            </w:r>
          </w:p>
        </w:tc>
        <w:tc>
          <w:tcPr>
            <w:tcW w:w="324" w:type="dxa"/>
          </w:tcPr>
          <w:p w:rsidR="0012447E" w:rsidRPr="002A7494" w:rsidRDefault="0012447E" w:rsidP="007C5606">
            <w:pPr>
              <w:pStyle w:val="BodyTextIndent2"/>
              <w:spacing w:after="0" w:line="240" w:lineRule="auto"/>
              <w:ind w:left="0"/>
              <w:jc w:val="right"/>
              <w:rPr>
                <w:b/>
                <w:sz w:val="22"/>
                <w:szCs w:val="22"/>
              </w:rPr>
            </w:pPr>
          </w:p>
        </w:tc>
        <w:tc>
          <w:tcPr>
            <w:tcW w:w="1634" w:type="dxa"/>
          </w:tcPr>
          <w:p w:rsidR="0012447E" w:rsidRPr="002A7494" w:rsidRDefault="0012447E" w:rsidP="007C5606">
            <w:pPr>
              <w:pStyle w:val="BodyTextIndent2"/>
              <w:spacing w:after="0" w:line="240" w:lineRule="auto"/>
              <w:ind w:left="0"/>
              <w:jc w:val="right"/>
              <w:rPr>
                <w:b/>
                <w:sz w:val="22"/>
                <w:szCs w:val="22"/>
              </w:rPr>
            </w:pPr>
            <w:r w:rsidRPr="002A7494">
              <w:rPr>
                <w:b/>
                <w:sz w:val="22"/>
                <w:szCs w:val="22"/>
              </w:rPr>
              <w:t>RM’000</w:t>
            </w:r>
          </w:p>
        </w:tc>
      </w:tr>
      <w:tr w:rsidR="0012447E" w:rsidRPr="002A7494" w:rsidTr="007C5606">
        <w:tc>
          <w:tcPr>
            <w:tcW w:w="1451" w:type="dxa"/>
          </w:tcPr>
          <w:p w:rsidR="0012447E" w:rsidRPr="002A7494" w:rsidRDefault="0012447E" w:rsidP="007C5606">
            <w:pPr>
              <w:pStyle w:val="BodyTextIndent2"/>
              <w:spacing w:after="0" w:line="240" w:lineRule="auto"/>
              <w:ind w:left="0"/>
              <w:jc w:val="both"/>
              <w:rPr>
                <w:sz w:val="22"/>
                <w:szCs w:val="22"/>
              </w:rPr>
            </w:pPr>
            <w:r w:rsidRPr="002A7494">
              <w:rPr>
                <w:sz w:val="22"/>
                <w:szCs w:val="22"/>
              </w:rPr>
              <w:t>Income Tax</w:t>
            </w:r>
          </w:p>
        </w:tc>
        <w:tc>
          <w:tcPr>
            <w:tcW w:w="1308" w:type="dxa"/>
          </w:tcPr>
          <w:p w:rsidR="0012447E" w:rsidRPr="002A7494" w:rsidRDefault="0012447E" w:rsidP="007C5606">
            <w:pPr>
              <w:pStyle w:val="BodyTextIndent2"/>
              <w:spacing w:after="0" w:line="240" w:lineRule="auto"/>
              <w:ind w:left="0"/>
              <w:jc w:val="both"/>
              <w:rPr>
                <w:color w:val="0000FF"/>
                <w:sz w:val="22"/>
                <w:szCs w:val="22"/>
              </w:rPr>
            </w:pP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Pr>
          <w:p w:rsidR="0012447E" w:rsidRPr="002A7494" w:rsidRDefault="0012447E" w:rsidP="007C5606">
            <w:pPr>
              <w:pStyle w:val="BodyTextIndent2"/>
              <w:spacing w:after="0" w:line="240" w:lineRule="auto"/>
              <w:ind w:left="0"/>
              <w:jc w:val="both"/>
              <w:rPr>
                <w:color w:val="0000FF"/>
                <w:sz w:val="22"/>
                <w:szCs w:val="22"/>
              </w:rPr>
            </w:pP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468" w:type="dxa"/>
          </w:tcPr>
          <w:p w:rsidR="0012447E" w:rsidRPr="002A7494" w:rsidRDefault="0012447E" w:rsidP="007C5606">
            <w:pPr>
              <w:pStyle w:val="BodyTextIndent2"/>
              <w:spacing w:after="0" w:line="240" w:lineRule="auto"/>
              <w:ind w:left="0"/>
              <w:jc w:val="both"/>
              <w:rPr>
                <w:color w:val="0000FF"/>
                <w:sz w:val="22"/>
                <w:szCs w:val="22"/>
              </w:rPr>
            </w:pPr>
          </w:p>
        </w:tc>
        <w:tc>
          <w:tcPr>
            <w:tcW w:w="324"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Pr>
          <w:p w:rsidR="0012447E" w:rsidRPr="002A7494" w:rsidRDefault="0012447E" w:rsidP="007C5606">
            <w:pPr>
              <w:pStyle w:val="BodyTextIndent2"/>
              <w:spacing w:after="0" w:line="240" w:lineRule="auto"/>
              <w:ind w:left="0"/>
              <w:jc w:val="both"/>
              <w:rPr>
                <w:color w:val="0000FF"/>
                <w:sz w:val="22"/>
                <w:szCs w:val="22"/>
              </w:rPr>
            </w:pPr>
          </w:p>
        </w:tc>
      </w:tr>
      <w:tr w:rsidR="0012447E" w:rsidRPr="002A7494" w:rsidTr="007C5606">
        <w:tc>
          <w:tcPr>
            <w:tcW w:w="1451" w:type="dxa"/>
          </w:tcPr>
          <w:p w:rsidR="0012447E" w:rsidRPr="002A7494" w:rsidRDefault="0012447E" w:rsidP="007C5606">
            <w:pPr>
              <w:pStyle w:val="BodyTextIndent2"/>
              <w:spacing w:after="0" w:line="240" w:lineRule="auto"/>
              <w:ind w:left="0"/>
              <w:jc w:val="both"/>
              <w:rPr>
                <w:sz w:val="22"/>
                <w:szCs w:val="22"/>
              </w:rPr>
            </w:pPr>
            <w:r w:rsidRPr="002A7494">
              <w:rPr>
                <w:sz w:val="22"/>
                <w:szCs w:val="22"/>
              </w:rPr>
              <w:t>- current year</w:t>
            </w:r>
          </w:p>
          <w:p w:rsidR="0012447E" w:rsidRPr="002A7494" w:rsidRDefault="0012447E" w:rsidP="007C5606">
            <w:pPr>
              <w:pStyle w:val="BodyTextIndent2"/>
              <w:spacing w:after="0" w:line="240" w:lineRule="auto"/>
              <w:ind w:left="0"/>
              <w:jc w:val="both"/>
              <w:rPr>
                <w:sz w:val="22"/>
                <w:szCs w:val="22"/>
              </w:rPr>
            </w:pPr>
            <w:r w:rsidRPr="002A7494">
              <w:rPr>
                <w:sz w:val="22"/>
                <w:szCs w:val="22"/>
              </w:rPr>
              <w:t>- prior year</w:t>
            </w:r>
          </w:p>
        </w:tc>
        <w:tc>
          <w:tcPr>
            <w:tcW w:w="1308" w:type="dxa"/>
          </w:tcPr>
          <w:p w:rsidR="0012447E" w:rsidRPr="002A7494" w:rsidRDefault="0012447E" w:rsidP="007C5606">
            <w:pPr>
              <w:pStyle w:val="BodyTextIndent2"/>
              <w:spacing w:after="0" w:line="240" w:lineRule="auto"/>
              <w:ind w:left="0" w:right="63"/>
              <w:jc w:val="right"/>
              <w:rPr>
                <w:sz w:val="22"/>
                <w:szCs w:val="22"/>
              </w:rPr>
            </w:pPr>
            <w:r w:rsidRPr="002A7494">
              <w:rPr>
                <w:sz w:val="22"/>
                <w:szCs w:val="22"/>
              </w:rPr>
              <w:t>(</w:t>
            </w:r>
            <w:r>
              <w:rPr>
                <w:sz w:val="22"/>
                <w:szCs w:val="22"/>
              </w:rPr>
              <w:t>177</w:t>
            </w:r>
            <w:r w:rsidRPr="002A7494">
              <w:rPr>
                <w:sz w:val="22"/>
                <w:szCs w:val="22"/>
              </w:rPr>
              <w:t>)</w:t>
            </w:r>
          </w:p>
          <w:p w:rsidR="0012447E" w:rsidRPr="002A7494" w:rsidRDefault="0012447E" w:rsidP="007C5606">
            <w:pPr>
              <w:pStyle w:val="BodyTextIndent2"/>
              <w:spacing w:after="0" w:line="240" w:lineRule="auto"/>
              <w:ind w:left="0" w:right="63"/>
              <w:jc w:val="right"/>
              <w:rPr>
                <w:sz w:val="22"/>
                <w:szCs w:val="22"/>
              </w:rPr>
            </w:pPr>
            <w:r>
              <w:rPr>
                <w:sz w:val="22"/>
                <w:szCs w:val="22"/>
              </w:rPr>
              <w:t>11</w:t>
            </w: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Pr>
          <w:p w:rsidR="0012447E" w:rsidRPr="002A7494" w:rsidRDefault="0012447E" w:rsidP="007C5606">
            <w:pPr>
              <w:pStyle w:val="BodyTextIndent"/>
              <w:tabs>
                <w:tab w:val="decimal" w:pos="1320"/>
              </w:tabs>
              <w:ind w:left="0"/>
              <w:rPr>
                <w:sz w:val="22"/>
                <w:szCs w:val="22"/>
              </w:rPr>
            </w:pPr>
            <w:r w:rsidRPr="002A7494">
              <w:rPr>
                <w:sz w:val="22"/>
                <w:szCs w:val="22"/>
              </w:rPr>
              <w:t>(358)</w:t>
            </w:r>
          </w:p>
          <w:p w:rsidR="0012447E" w:rsidRPr="002A7494" w:rsidRDefault="0012447E" w:rsidP="007C5606">
            <w:pPr>
              <w:pStyle w:val="BodyTextIndent"/>
              <w:tabs>
                <w:tab w:val="decimal" w:pos="1320"/>
              </w:tabs>
              <w:ind w:left="0"/>
              <w:rPr>
                <w:sz w:val="22"/>
                <w:szCs w:val="22"/>
              </w:rPr>
            </w:pPr>
            <w:r w:rsidRPr="002A7494">
              <w:rPr>
                <w:sz w:val="22"/>
                <w:szCs w:val="22"/>
              </w:rPr>
              <w:t>40</w:t>
            </w: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468" w:type="dxa"/>
          </w:tcPr>
          <w:p w:rsidR="0012447E" w:rsidRPr="002A7494" w:rsidRDefault="0012447E" w:rsidP="007C5606">
            <w:pPr>
              <w:pStyle w:val="BodyTextIndent2"/>
              <w:spacing w:after="0" w:line="240" w:lineRule="auto"/>
              <w:ind w:left="0"/>
              <w:jc w:val="right"/>
              <w:rPr>
                <w:sz w:val="22"/>
                <w:szCs w:val="22"/>
              </w:rPr>
            </w:pPr>
            <w:r w:rsidRPr="002A7494">
              <w:rPr>
                <w:sz w:val="22"/>
                <w:szCs w:val="22"/>
              </w:rPr>
              <w:t xml:space="preserve"> (</w:t>
            </w:r>
            <w:r>
              <w:rPr>
                <w:sz w:val="22"/>
                <w:szCs w:val="22"/>
              </w:rPr>
              <w:t>804</w:t>
            </w:r>
            <w:r w:rsidRPr="002A7494">
              <w:rPr>
                <w:sz w:val="22"/>
                <w:szCs w:val="22"/>
              </w:rPr>
              <w:t>)</w:t>
            </w:r>
          </w:p>
          <w:p w:rsidR="0012447E" w:rsidRPr="002A7494" w:rsidRDefault="0012447E" w:rsidP="007C5606">
            <w:pPr>
              <w:pStyle w:val="BodyTextIndent2"/>
              <w:spacing w:after="0" w:line="240" w:lineRule="auto"/>
              <w:ind w:left="0"/>
              <w:jc w:val="right"/>
              <w:rPr>
                <w:sz w:val="22"/>
                <w:szCs w:val="22"/>
              </w:rPr>
            </w:pPr>
            <w:r>
              <w:rPr>
                <w:sz w:val="22"/>
                <w:szCs w:val="22"/>
              </w:rPr>
              <w:t>1</w:t>
            </w:r>
          </w:p>
        </w:tc>
        <w:tc>
          <w:tcPr>
            <w:tcW w:w="324"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Pr>
          <w:p w:rsidR="0012447E" w:rsidRPr="002A7494" w:rsidRDefault="0012447E" w:rsidP="007C5606">
            <w:pPr>
              <w:pStyle w:val="BodyTextIndent"/>
              <w:tabs>
                <w:tab w:val="decimal" w:pos="1320"/>
              </w:tabs>
              <w:ind w:left="0"/>
              <w:rPr>
                <w:sz w:val="22"/>
                <w:szCs w:val="22"/>
              </w:rPr>
            </w:pPr>
            <w:r w:rsidRPr="002A7494">
              <w:rPr>
                <w:sz w:val="22"/>
                <w:szCs w:val="22"/>
              </w:rPr>
              <w:t>(655)</w:t>
            </w:r>
          </w:p>
          <w:p w:rsidR="0012447E" w:rsidRPr="002A7494" w:rsidRDefault="0012447E" w:rsidP="007C5606">
            <w:pPr>
              <w:pStyle w:val="BodyTextIndent"/>
              <w:tabs>
                <w:tab w:val="decimal" w:pos="1320"/>
              </w:tabs>
              <w:ind w:left="0"/>
              <w:rPr>
                <w:sz w:val="22"/>
                <w:szCs w:val="22"/>
              </w:rPr>
            </w:pPr>
            <w:r w:rsidRPr="002A7494">
              <w:rPr>
                <w:sz w:val="22"/>
                <w:szCs w:val="22"/>
              </w:rPr>
              <w:t>(3,120)</w:t>
            </w:r>
          </w:p>
        </w:tc>
      </w:tr>
      <w:tr w:rsidR="0012447E" w:rsidRPr="002A7494" w:rsidTr="007C5606">
        <w:tc>
          <w:tcPr>
            <w:tcW w:w="1451" w:type="dxa"/>
          </w:tcPr>
          <w:p w:rsidR="0012447E" w:rsidRPr="002A7494" w:rsidRDefault="0012447E" w:rsidP="007C5606">
            <w:pPr>
              <w:pStyle w:val="BodyTextIndent2"/>
              <w:spacing w:after="0" w:line="240" w:lineRule="auto"/>
              <w:ind w:left="0"/>
              <w:jc w:val="both"/>
              <w:rPr>
                <w:sz w:val="22"/>
                <w:szCs w:val="22"/>
              </w:rPr>
            </w:pPr>
          </w:p>
        </w:tc>
        <w:tc>
          <w:tcPr>
            <w:tcW w:w="1308" w:type="dxa"/>
            <w:tcBorders>
              <w:top w:val="single" w:sz="4" w:space="0" w:color="auto"/>
            </w:tcBorders>
          </w:tcPr>
          <w:p w:rsidR="0012447E" w:rsidRPr="002A7494" w:rsidRDefault="0012447E" w:rsidP="007C5606">
            <w:pPr>
              <w:pStyle w:val="BodyTextIndent2"/>
              <w:spacing w:after="0" w:line="240" w:lineRule="auto"/>
              <w:ind w:left="0" w:right="63"/>
              <w:jc w:val="right"/>
              <w:rPr>
                <w:sz w:val="22"/>
                <w:szCs w:val="22"/>
              </w:rPr>
            </w:pPr>
            <w:r>
              <w:rPr>
                <w:sz w:val="22"/>
                <w:szCs w:val="22"/>
              </w:rPr>
              <w:t>(166</w:t>
            </w:r>
            <w:r w:rsidRPr="002A7494">
              <w:rPr>
                <w:sz w:val="22"/>
                <w:szCs w:val="22"/>
              </w:rPr>
              <w:t>)</w:t>
            </w: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Borders>
              <w:top w:val="single" w:sz="4" w:space="0" w:color="auto"/>
            </w:tcBorders>
          </w:tcPr>
          <w:p w:rsidR="0012447E" w:rsidRPr="002A7494" w:rsidRDefault="0012447E" w:rsidP="007C5606">
            <w:pPr>
              <w:pStyle w:val="BodyTextIndent"/>
              <w:tabs>
                <w:tab w:val="decimal" w:pos="1320"/>
              </w:tabs>
              <w:ind w:left="0"/>
              <w:rPr>
                <w:sz w:val="22"/>
                <w:szCs w:val="22"/>
              </w:rPr>
            </w:pPr>
            <w:r w:rsidRPr="002A7494">
              <w:rPr>
                <w:sz w:val="22"/>
                <w:szCs w:val="22"/>
              </w:rPr>
              <w:t>(318)</w:t>
            </w: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468" w:type="dxa"/>
            <w:tcBorders>
              <w:top w:val="single" w:sz="4" w:space="0" w:color="auto"/>
            </w:tcBorders>
          </w:tcPr>
          <w:p w:rsidR="0012447E" w:rsidRPr="002A7494" w:rsidRDefault="0012447E" w:rsidP="007C5606">
            <w:pPr>
              <w:pStyle w:val="BodyTextIndent2"/>
              <w:spacing w:after="0" w:line="240" w:lineRule="auto"/>
              <w:ind w:left="0"/>
              <w:jc w:val="right"/>
              <w:rPr>
                <w:sz w:val="22"/>
                <w:szCs w:val="22"/>
              </w:rPr>
            </w:pPr>
            <w:r>
              <w:rPr>
                <w:sz w:val="22"/>
                <w:szCs w:val="22"/>
              </w:rPr>
              <w:t>(803</w:t>
            </w:r>
            <w:r w:rsidRPr="002A7494">
              <w:rPr>
                <w:sz w:val="22"/>
                <w:szCs w:val="22"/>
              </w:rPr>
              <w:t>)</w:t>
            </w:r>
          </w:p>
        </w:tc>
        <w:tc>
          <w:tcPr>
            <w:tcW w:w="324"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Borders>
              <w:top w:val="single" w:sz="4" w:space="0" w:color="auto"/>
            </w:tcBorders>
          </w:tcPr>
          <w:p w:rsidR="0012447E" w:rsidRPr="002A7494" w:rsidRDefault="0012447E" w:rsidP="007C5606">
            <w:pPr>
              <w:pStyle w:val="BodyTextIndent"/>
              <w:tabs>
                <w:tab w:val="decimal" w:pos="1320"/>
              </w:tabs>
              <w:ind w:left="0"/>
              <w:rPr>
                <w:sz w:val="22"/>
                <w:szCs w:val="22"/>
              </w:rPr>
            </w:pPr>
            <w:r w:rsidRPr="002A7494">
              <w:rPr>
                <w:sz w:val="22"/>
                <w:szCs w:val="22"/>
              </w:rPr>
              <w:t>(3,775)</w:t>
            </w:r>
          </w:p>
        </w:tc>
      </w:tr>
      <w:tr w:rsidR="0012447E" w:rsidRPr="002A7494" w:rsidTr="007C5606">
        <w:tc>
          <w:tcPr>
            <w:tcW w:w="1451" w:type="dxa"/>
          </w:tcPr>
          <w:p w:rsidR="0012447E" w:rsidRPr="002A7494" w:rsidRDefault="0012447E" w:rsidP="007C5606">
            <w:pPr>
              <w:pStyle w:val="BodyTextIndent2"/>
              <w:spacing w:after="0" w:line="240" w:lineRule="auto"/>
              <w:ind w:left="0"/>
              <w:jc w:val="both"/>
              <w:rPr>
                <w:sz w:val="22"/>
                <w:szCs w:val="22"/>
              </w:rPr>
            </w:pPr>
            <w:r w:rsidRPr="002A7494">
              <w:rPr>
                <w:sz w:val="22"/>
                <w:szCs w:val="22"/>
              </w:rPr>
              <w:t>Deferred Tax</w:t>
            </w:r>
          </w:p>
        </w:tc>
        <w:tc>
          <w:tcPr>
            <w:tcW w:w="1308" w:type="dxa"/>
            <w:tcBorders>
              <w:top w:val="single" w:sz="4" w:space="0" w:color="auto"/>
            </w:tcBorders>
          </w:tcPr>
          <w:p w:rsidR="0012447E" w:rsidRPr="002A7494" w:rsidRDefault="0012447E" w:rsidP="007C5606">
            <w:pPr>
              <w:pStyle w:val="BodyTextIndent2"/>
              <w:spacing w:after="0" w:line="240" w:lineRule="auto"/>
              <w:ind w:left="0" w:right="63"/>
              <w:jc w:val="right"/>
              <w:rPr>
                <w:sz w:val="22"/>
                <w:szCs w:val="22"/>
              </w:rPr>
            </w:pP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Borders>
              <w:top w:val="single" w:sz="4" w:space="0" w:color="auto"/>
            </w:tcBorders>
          </w:tcPr>
          <w:p w:rsidR="0012447E" w:rsidRPr="002A7494" w:rsidRDefault="0012447E" w:rsidP="007C5606">
            <w:pPr>
              <w:pStyle w:val="BodyTextIndent"/>
              <w:tabs>
                <w:tab w:val="decimal" w:pos="1320"/>
              </w:tabs>
              <w:ind w:left="0"/>
              <w:rPr>
                <w:sz w:val="22"/>
                <w:szCs w:val="22"/>
              </w:rPr>
            </w:pP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468" w:type="dxa"/>
            <w:tcBorders>
              <w:top w:val="single" w:sz="4" w:space="0" w:color="auto"/>
            </w:tcBorders>
          </w:tcPr>
          <w:p w:rsidR="0012447E" w:rsidRPr="002A7494" w:rsidRDefault="0012447E" w:rsidP="007C5606">
            <w:pPr>
              <w:pStyle w:val="BodyTextIndent2"/>
              <w:spacing w:after="0" w:line="240" w:lineRule="auto"/>
              <w:ind w:left="0"/>
              <w:jc w:val="right"/>
              <w:rPr>
                <w:sz w:val="22"/>
                <w:szCs w:val="22"/>
              </w:rPr>
            </w:pPr>
          </w:p>
        </w:tc>
        <w:tc>
          <w:tcPr>
            <w:tcW w:w="324"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Borders>
              <w:top w:val="single" w:sz="4" w:space="0" w:color="auto"/>
            </w:tcBorders>
          </w:tcPr>
          <w:p w:rsidR="0012447E" w:rsidRPr="002A7494" w:rsidRDefault="0012447E" w:rsidP="007C5606">
            <w:pPr>
              <w:pStyle w:val="BodyTextIndent"/>
              <w:tabs>
                <w:tab w:val="decimal" w:pos="1320"/>
              </w:tabs>
              <w:ind w:left="0"/>
              <w:rPr>
                <w:sz w:val="22"/>
                <w:szCs w:val="22"/>
              </w:rPr>
            </w:pPr>
          </w:p>
        </w:tc>
      </w:tr>
      <w:tr w:rsidR="0012447E" w:rsidRPr="002A7494" w:rsidTr="007C5606">
        <w:tc>
          <w:tcPr>
            <w:tcW w:w="1451" w:type="dxa"/>
          </w:tcPr>
          <w:p w:rsidR="0012447E" w:rsidRPr="002A7494" w:rsidRDefault="0012447E" w:rsidP="007C5606">
            <w:pPr>
              <w:pStyle w:val="BodyTextIndent2"/>
              <w:spacing w:after="0" w:line="240" w:lineRule="auto"/>
              <w:ind w:left="0"/>
              <w:jc w:val="both"/>
              <w:rPr>
                <w:sz w:val="22"/>
                <w:szCs w:val="22"/>
              </w:rPr>
            </w:pPr>
            <w:r w:rsidRPr="002A7494">
              <w:rPr>
                <w:sz w:val="22"/>
                <w:szCs w:val="22"/>
              </w:rPr>
              <w:t>- current year</w:t>
            </w:r>
          </w:p>
        </w:tc>
        <w:tc>
          <w:tcPr>
            <w:tcW w:w="1308" w:type="dxa"/>
          </w:tcPr>
          <w:p w:rsidR="0012447E" w:rsidRPr="002A7494" w:rsidRDefault="0012447E" w:rsidP="007C5606">
            <w:pPr>
              <w:pStyle w:val="BodyTextIndent2"/>
              <w:spacing w:after="0" w:line="240" w:lineRule="auto"/>
              <w:ind w:left="0" w:right="63"/>
              <w:jc w:val="right"/>
              <w:rPr>
                <w:sz w:val="22"/>
                <w:szCs w:val="22"/>
              </w:rPr>
            </w:pPr>
            <w:r>
              <w:rPr>
                <w:sz w:val="22"/>
                <w:szCs w:val="22"/>
              </w:rPr>
              <w:t>-</w:t>
            </w: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Pr>
          <w:p w:rsidR="0012447E" w:rsidRPr="002A7494" w:rsidRDefault="0012447E" w:rsidP="007C5606">
            <w:pPr>
              <w:pStyle w:val="BodyTextIndent"/>
              <w:tabs>
                <w:tab w:val="decimal" w:pos="1320"/>
              </w:tabs>
              <w:ind w:left="0"/>
              <w:rPr>
                <w:sz w:val="22"/>
                <w:szCs w:val="22"/>
              </w:rPr>
            </w:pPr>
            <w:r w:rsidRPr="002A7494">
              <w:rPr>
                <w:sz w:val="22"/>
                <w:szCs w:val="22"/>
              </w:rPr>
              <w:t>-</w:t>
            </w: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468" w:type="dxa"/>
          </w:tcPr>
          <w:p w:rsidR="0012447E" w:rsidRPr="002A7494" w:rsidRDefault="0012447E" w:rsidP="007C5606">
            <w:pPr>
              <w:pStyle w:val="BodyTextIndent2"/>
              <w:spacing w:after="0" w:line="240" w:lineRule="auto"/>
              <w:ind w:left="0"/>
              <w:jc w:val="right"/>
              <w:rPr>
                <w:sz w:val="22"/>
                <w:szCs w:val="22"/>
              </w:rPr>
            </w:pPr>
            <w:r w:rsidRPr="002A7494">
              <w:rPr>
                <w:sz w:val="22"/>
                <w:szCs w:val="22"/>
              </w:rPr>
              <w:t>301</w:t>
            </w:r>
          </w:p>
        </w:tc>
        <w:tc>
          <w:tcPr>
            <w:tcW w:w="324"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Pr>
          <w:p w:rsidR="0012447E" w:rsidRPr="002A7494" w:rsidRDefault="0012447E" w:rsidP="007C5606">
            <w:pPr>
              <w:pStyle w:val="BodyTextIndent"/>
              <w:tabs>
                <w:tab w:val="decimal" w:pos="1320"/>
              </w:tabs>
              <w:ind w:left="0"/>
              <w:rPr>
                <w:sz w:val="22"/>
                <w:szCs w:val="22"/>
              </w:rPr>
            </w:pPr>
            <w:r w:rsidRPr="002A7494">
              <w:rPr>
                <w:sz w:val="22"/>
                <w:szCs w:val="22"/>
              </w:rPr>
              <w:t>(358)</w:t>
            </w:r>
          </w:p>
        </w:tc>
      </w:tr>
      <w:tr w:rsidR="0012447E" w:rsidRPr="002A7494" w:rsidTr="007C5606">
        <w:tc>
          <w:tcPr>
            <w:tcW w:w="1451" w:type="dxa"/>
          </w:tcPr>
          <w:p w:rsidR="0012447E" w:rsidRPr="002A7494" w:rsidRDefault="0012447E" w:rsidP="007C5606">
            <w:pPr>
              <w:pStyle w:val="BodyTextIndent2"/>
              <w:spacing w:after="0" w:line="240" w:lineRule="auto"/>
              <w:ind w:left="0"/>
              <w:jc w:val="both"/>
              <w:rPr>
                <w:sz w:val="22"/>
                <w:szCs w:val="22"/>
              </w:rPr>
            </w:pPr>
            <w:r w:rsidRPr="002A7494">
              <w:rPr>
                <w:sz w:val="22"/>
                <w:szCs w:val="22"/>
              </w:rPr>
              <w:t>- prior year</w:t>
            </w:r>
          </w:p>
        </w:tc>
        <w:tc>
          <w:tcPr>
            <w:tcW w:w="1308" w:type="dxa"/>
          </w:tcPr>
          <w:p w:rsidR="0012447E" w:rsidRPr="002A7494" w:rsidRDefault="0012447E" w:rsidP="007C5606">
            <w:pPr>
              <w:pStyle w:val="BodyTextIndent2"/>
              <w:spacing w:after="0" w:line="240" w:lineRule="auto"/>
              <w:ind w:left="0" w:right="63"/>
              <w:jc w:val="right"/>
              <w:rPr>
                <w:sz w:val="22"/>
                <w:szCs w:val="22"/>
              </w:rPr>
            </w:pPr>
            <w:r>
              <w:rPr>
                <w:sz w:val="22"/>
                <w:szCs w:val="22"/>
              </w:rPr>
              <w:t>-</w:t>
            </w: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Pr>
          <w:p w:rsidR="0012447E" w:rsidRPr="002A7494" w:rsidRDefault="0012447E" w:rsidP="007C5606">
            <w:pPr>
              <w:pStyle w:val="BodyTextIndent"/>
              <w:tabs>
                <w:tab w:val="decimal" w:pos="1320"/>
              </w:tabs>
              <w:ind w:left="0"/>
              <w:rPr>
                <w:sz w:val="22"/>
                <w:szCs w:val="22"/>
              </w:rPr>
            </w:pPr>
            <w:r w:rsidRPr="002A7494">
              <w:rPr>
                <w:sz w:val="22"/>
                <w:szCs w:val="22"/>
              </w:rPr>
              <w:t>-</w:t>
            </w: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468" w:type="dxa"/>
          </w:tcPr>
          <w:p w:rsidR="0012447E" w:rsidRPr="002A7494" w:rsidRDefault="0012447E" w:rsidP="007C5606">
            <w:pPr>
              <w:pStyle w:val="BodyTextIndent2"/>
              <w:spacing w:after="0" w:line="240" w:lineRule="auto"/>
              <w:ind w:left="0"/>
              <w:jc w:val="right"/>
              <w:rPr>
                <w:sz w:val="22"/>
                <w:szCs w:val="22"/>
              </w:rPr>
            </w:pPr>
            <w:r w:rsidRPr="002A7494">
              <w:rPr>
                <w:sz w:val="22"/>
                <w:szCs w:val="22"/>
              </w:rPr>
              <w:t>-</w:t>
            </w:r>
          </w:p>
        </w:tc>
        <w:tc>
          <w:tcPr>
            <w:tcW w:w="324"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Pr>
          <w:p w:rsidR="0012447E" w:rsidRPr="002A7494" w:rsidRDefault="0012447E" w:rsidP="007C5606">
            <w:pPr>
              <w:pStyle w:val="BodyTextIndent"/>
              <w:tabs>
                <w:tab w:val="decimal" w:pos="1320"/>
              </w:tabs>
              <w:ind w:left="0"/>
              <w:rPr>
                <w:sz w:val="22"/>
                <w:szCs w:val="22"/>
              </w:rPr>
            </w:pPr>
            <w:r w:rsidRPr="002A7494">
              <w:rPr>
                <w:sz w:val="22"/>
                <w:szCs w:val="22"/>
              </w:rPr>
              <w:t>-</w:t>
            </w:r>
          </w:p>
        </w:tc>
      </w:tr>
      <w:tr w:rsidR="0012447E" w:rsidRPr="002A7494" w:rsidTr="007C5606">
        <w:tc>
          <w:tcPr>
            <w:tcW w:w="1451" w:type="dxa"/>
          </w:tcPr>
          <w:p w:rsidR="0012447E" w:rsidRPr="002A7494" w:rsidRDefault="0012447E" w:rsidP="007C5606">
            <w:pPr>
              <w:pStyle w:val="BodyTextIndent2"/>
              <w:spacing w:after="0" w:line="240" w:lineRule="auto"/>
              <w:ind w:left="0"/>
              <w:jc w:val="both"/>
              <w:rPr>
                <w:sz w:val="22"/>
                <w:szCs w:val="22"/>
              </w:rPr>
            </w:pPr>
          </w:p>
        </w:tc>
        <w:tc>
          <w:tcPr>
            <w:tcW w:w="1308" w:type="dxa"/>
            <w:tcBorders>
              <w:top w:val="single" w:sz="4" w:space="0" w:color="auto"/>
            </w:tcBorders>
          </w:tcPr>
          <w:p w:rsidR="0012447E" w:rsidRPr="002A7494" w:rsidRDefault="0012447E" w:rsidP="007C5606">
            <w:pPr>
              <w:pStyle w:val="BodyTextIndent2"/>
              <w:spacing w:after="0" w:line="240" w:lineRule="auto"/>
              <w:ind w:left="0" w:right="63"/>
              <w:jc w:val="right"/>
              <w:rPr>
                <w:sz w:val="22"/>
                <w:szCs w:val="22"/>
              </w:rPr>
            </w:pPr>
            <w:r w:rsidRPr="002A7494">
              <w:rPr>
                <w:sz w:val="22"/>
                <w:szCs w:val="22"/>
              </w:rPr>
              <w:t>-</w:t>
            </w: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Borders>
              <w:top w:val="single" w:sz="4" w:space="0" w:color="auto"/>
            </w:tcBorders>
          </w:tcPr>
          <w:p w:rsidR="0012447E" w:rsidRPr="002A7494" w:rsidRDefault="0012447E" w:rsidP="007C5606">
            <w:pPr>
              <w:pStyle w:val="BodyTextIndent"/>
              <w:tabs>
                <w:tab w:val="decimal" w:pos="1320"/>
              </w:tabs>
              <w:ind w:left="0"/>
              <w:rPr>
                <w:sz w:val="22"/>
                <w:szCs w:val="22"/>
              </w:rPr>
            </w:pPr>
            <w:r w:rsidRPr="002A7494">
              <w:rPr>
                <w:sz w:val="22"/>
                <w:szCs w:val="22"/>
              </w:rPr>
              <w:t>-</w:t>
            </w: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468" w:type="dxa"/>
            <w:tcBorders>
              <w:top w:val="single" w:sz="4" w:space="0" w:color="auto"/>
            </w:tcBorders>
          </w:tcPr>
          <w:p w:rsidR="0012447E" w:rsidRPr="002A7494" w:rsidRDefault="0012447E" w:rsidP="007C5606">
            <w:pPr>
              <w:pStyle w:val="BodyTextIndent2"/>
              <w:spacing w:after="0" w:line="240" w:lineRule="auto"/>
              <w:ind w:left="0"/>
              <w:jc w:val="right"/>
              <w:rPr>
                <w:sz w:val="22"/>
                <w:szCs w:val="22"/>
              </w:rPr>
            </w:pPr>
            <w:r w:rsidRPr="002A7494">
              <w:rPr>
                <w:sz w:val="22"/>
                <w:szCs w:val="22"/>
              </w:rPr>
              <w:t>301</w:t>
            </w:r>
          </w:p>
        </w:tc>
        <w:tc>
          <w:tcPr>
            <w:tcW w:w="324"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Borders>
              <w:top w:val="single" w:sz="4" w:space="0" w:color="auto"/>
            </w:tcBorders>
          </w:tcPr>
          <w:p w:rsidR="0012447E" w:rsidRPr="002A7494" w:rsidRDefault="0012447E" w:rsidP="007C5606">
            <w:pPr>
              <w:pStyle w:val="BodyTextIndent"/>
              <w:tabs>
                <w:tab w:val="decimal" w:pos="1320"/>
              </w:tabs>
              <w:ind w:left="0"/>
              <w:rPr>
                <w:sz w:val="22"/>
                <w:szCs w:val="22"/>
              </w:rPr>
            </w:pPr>
            <w:r w:rsidRPr="002A7494">
              <w:rPr>
                <w:sz w:val="22"/>
                <w:szCs w:val="22"/>
              </w:rPr>
              <w:t>(358)</w:t>
            </w:r>
          </w:p>
        </w:tc>
      </w:tr>
      <w:tr w:rsidR="0012447E" w:rsidRPr="002A7494" w:rsidTr="007C5606">
        <w:tc>
          <w:tcPr>
            <w:tcW w:w="1451" w:type="dxa"/>
          </w:tcPr>
          <w:p w:rsidR="0012447E" w:rsidRPr="002A7494" w:rsidRDefault="0012447E" w:rsidP="007C5606">
            <w:pPr>
              <w:pStyle w:val="BodyTextIndent2"/>
              <w:spacing w:after="0" w:line="240" w:lineRule="auto"/>
              <w:ind w:left="0"/>
              <w:jc w:val="both"/>
              <w:rPr>
                <w:sz w:val="22"/>
                <w:szCs w:val="22"/>
              </w:rPr>
            </w:pPr>
          </w:p>
        </w:tc>
        <w:tc>
          <w:tcPr>
            <w:tcW w:w="1308" w:type="dxa"/>
            <w:tcBorders>
              <w:top w:val="single" w:sz="4" w:space="0" w:color="auto"/>
            </w:tcBorders>
          </w:tcPr>
          <w:p w:rsidR="0012447E" w:rsidRPr="002A7494" w:rsidRDefault="0012447E" w:rsidP="007C5606">
            <w:pPr>
              <w:pStyle w:val="BodyTextIndent2"/>
              <w:spacing w:after="0" w:line="240" w:lineRule="auto"/>
              <w:ind w:left="0" w:right="63"/>
              <w:jc w:val="right"/>
              <w:rPr>
                <w:sz w:val="22"/>
                <w:szCs w:val="22"/>
              </w:rPr>
            </w:pP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Borders>
              <w:top w:val="single" w:sz="4" w:space="0" w:color="auto"/>
            </w:tcBorders>
          </w:tcPr>
          <w:p w:rsidR="0012447E" w:rsidRPr="002A7494" w:rsidRDefault="0012447E" w:rsidP="007C5606">
            <w:pPr>
              <w:pStyle w:val="BodyTextIndent"/>
              <w:tabs>
                <w:tab w:val="decimal" w:pos="1320"/>
              </w:tabs>
              <w:ind w:left="0"/>
              <w:rPr>
                <w:sz w:val="22"/>
                <w:szCs w:val="22"/>
              </w:rPr>
            </w:pP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468" w:type="dxa"/>
            <w:tcBorders>
              <w:top w:val="single" w:sz="4" w:space="0" w:color="auto"/>
            </w:tcBorders>
          </w:tcPr>
          <w:p w:rsidR="0012447E" w:rsidRPr="002A7494" w:rsidRDefault="0012447E" w:rsidP="007C5606">
            <w:pPr>
              <w:pStyle w:val="BodyTextIndent2"/>
              <w:spacing w:after="0" w:line="240" w:lineRule="auto"/>
              <w:ind w:left="0"/>
              <w:jc w:val="right"/>
              <w:rPr>
                <w:sz w:val="22"/>
                <w:szCs w:val="22"/>
              </w:rPr>
            </w:pPr>
          </w:p>
        </w:tc>
        <w:tc>
          <w:tcPr>
            <w:tcW w:w="324"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Borders>
              <w:top w:val="single" w:sz="4" w:space="0" w:color="auto"/>
            </w:tcBorders>
          </w:tcPr>
          <w:p w:rsidR="0012447E" w:rsidRPr="002A7494" w:rsidRDefault="0012447E" w:rsidP="007C5606">
            <w:pPr>
              <w:pStyle w:val="BodyTextIndent"/>
              <w:tabs>
                <w:tab w:val="decimal" w:pos="1320"/>
              </w:tabs>
              <w:ind w:left="0"/>
              <w:rPr>
                <w:sz w:val="22"/>
                <w:szCs w:val="22"/>
              </w:rPr>
            </w:pPr>
          </w:p>
        </w:tc>
      </w:tr>
      <w:tr w:rsidR="0012447E" w:rsidRPr="007C5606" w:rsidTr="007C5606">
        <w:tc>
          <w:tcPr>
            <w:tcW w:w="1451" w:type="dxa"/>
          </w:tcPr>
          <w:p w:rsidR="0012447E" w:rsidRPr="002A7494" w:rsidRDefault="0012447E" w:rsidP="007C5606">
            <w:pPr>
              <w:pStyle w:val="BodyTextIndent2"/>
              <w:spacing w:after="0" w:line="240" w:lineRule="auto"/>
              <w:ind w:left="0"/>
              <w:jc w:val="both"/>
              <w:rPr>
                <w:sz w:val="22"/>
                <w:szCs w:val="22"/>
              </w:rPr>
            </w:pPr>
            <w:r w:rsidRPr="002A7494">
              <w:rPr>
                <w:sz w:val="22"/>
                <w:szCs w:val="22"/>
              </w:rPr>
              <w:t>Total</w:t>
            </w:r>
          </w:p>
        </w:tc>
        <w:tc>
          <w:tcPr>
            <w:tcW w:w="1308" w:type="dxa"/>
            <w:tcBorders>
              <w:bottom w:val="double" w:sz="4" w:space="0" w:color="auto"/>
            </w:tcBorders>
          </w:tcPr>
          <w:p w:rsidR="0012447E" w:rsidRPr="002A7494" w:rsidRDefault="0012447E" w:rsidP="007C5606">
            <w:pPr>
              <w:pStyle w:val="BodyTextIndent2"/>
              <w:spacing w:after="0" w:line="240" w:lineRule="auto"/>
              <w:ind w:left="0" w:right="63"/>
              <w:jc w:val="right"/>
              <w:rPr>
                <w:sz w:val="22"/>
                <w:szCs w:val="22"/>
              </w:rPr>
            </w:pPr>
            <w:r>
              <w:rPr>
                <w:sz w:val="22"/>
                <w:szCs w:val="22"/>
              </w:rPr>
              <w:t>(166</w:t>
            </w:r>
            <w:r w:rsidRPr="002A7494">
              <w:rPr>
                <w:sz w:val="22"/>
                <w:szCs w:val="22"/>
              </w:rPr>
              <w:t>)</w:t>
            </w: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Borders>
              <w:bottom w:val="double" w:sz="4" w:space="0" w:color="auto"/>
            </w:tcBorders>
          </w:tcPr>
          <w:p w:rsidR="0012447E" w:rsidRPr="002A7494" w:rsidRDefault="0012447E" w:rsidP="007C5606">
            <w:pPr>
              <w:pStyle w:val="BodyTextIndent"/>
              <w:tabs>
                <w:tab w:val="decimal" w:pos="1320"/>
              </w:tabs>
              <w:ind w:left="0"/>
              <w:rPr>
                <w:sz w:val="22"/>
                <w:szCs w:val="22"/>
              </w:rPr>
            </w:pPr>
            <w:r w:rsidRPr="002A7494">
              <w:rPr>
                <w:sz w:val="22"/>
                <w:szCs w:val="22"/>
              </w:rPr>
              <w:t>(318)</w:t>
            </w:r>
          </w:p>
        </w:tc>
        <w:tc>
          <w:tcPr>
            <w:tcW w:w="259" w:type="dxa"/>
          </w:tcPr>
          <w:p w:rsidR="0012447E" w:rsidRPr="002A7494" w:rsidRDefault="0012447E" w:rsidP="007C5606">
            <w:pPr>
              <w:pStyle w:val="BodyTextIndent2"/>
              <w:spacing w:after="0" w:line="240" w:lineRule="auto"/>
              <w:ind w:left="0"/>
              <w:jc w:val="both"/>
              <w:rPr>
                <w:color w:val="0000FF"/>
                <w:sz w:val="22"/>
                <w:szCs w:val="22"/>
              </w:rPr>
            </w:pPr>
          </w:p>
        </w:tc>
        <w:tc>
          <w:tcPr>
            <w:tcW w:w="1468" w:type="dxa"/>
            <w:tcBorders>
              <w:bottom w:val="double" w:sz="4" w:space="0" w:color="auto"/>
            </w:tcBorders>
          </w:tcPr>
          <w:p w:rsidR="0012447E" w:rsidRPr="002A7494" w:rsidRDefault="0012447E" w:rsidP="007C5606">
            <w:pPr>
              <w:pStyle w:val="BodyTextIndent2"/>
              <w:spacing w:after="0" w:line="240" w:lineRule="auto"/>
              <w:ind w:left="0"/>
              <w:jc w:val="right"/>
              <w:rPr>
                <w:sz w:val="22"/>
                <w:szCs w:val="22"/>
              </w:rPr>
            </w:pPr>
            <w:r w:rsidRPr="002A7494">
              <w:rPr>
                <w:sz w:val="22"/>
                <w:szCs w:val="22"/>
              </w:rPr>
              <w:t>(</w:t>
            </w:r>
            <w:r>
              <w:rPr>
                <w:sz w:val="22"/>
                <w:szCs w:val="22"/>
              </w:rPr>
              <w:t>502</w:t>
            </w:r>
            <w:r w:rsidRPr="002A7494">
              <w:rPr>
                <w:sz w:val="22"/>
                <w:szCs w:val="22"/>
              </w:rPr>
              <w:t>)</w:t>
            </w:r>
          </w:p>
        </w:tc>
        <w:tc>
          <w:tcPr>
            <w:tcW w:w="324" w:type="dxa"/>
          </w:tcPr>
          <w:p w:rsidR="0012447E" w:rsidRPr="002A7494" w:rsidRDefault="0012447E" w:rsidP="007C5606">
            <w:pPr>
              <w:pStyle w:val="BodyTextIndent2"/>
              <w:spacing w:after="0" w:line="240" w:lineRule="auto"/>
              <w:ind w:left="0"/>
              <w:jc w:val="both"/>
              <w:rPr>
                <w:color w:val="0000FF"/>
                <w:sz w:val="22"/>
                <w:szCs w:val="22"/>
              </w:rPr>
            </w:pPr>
          </w:p>
        </w:tc>
        <w:tc>
          <w:tcPr>
            <w:tcW w:w="1634" w:type="dxa"/>
            <w:tcBorders>
              <w:bottom w:val="double" w:sz="4" w:space="0" w:color="auto"/>
            </w:tcBorders>
          </w:tcPr>
          <w:p w:rsidR="0012447E" w:rsidRPr="002A7494" w:rsidRDefault="0012447E" w:rsidP="007C5606">
            <w:pPr>
              <w:pStyle w:val="BodyTextIndent"/>
              <w:tabs>
                <w:tab w:val="decimal" w:pos="1320"/>
              </w:tabs>
              <w:ind w:left="0"/>
              <w:rPr>
                <w:sz w:val="22"/>
                <w:szCs w:val="22"/>
              </w:rPr>
            </w:pPr>
            <w:r w:rsidRPr="002A7494">
              <w:rPr>
                <w:sz w:val="22"/>
                <w:szCs w:val="22"/>
              </w:rPr>
              <w:t>(4,133)</w:t>
            </w:r>
          </w:p>
        </w:tc>
      </w:tr>
    </w:tbl>
    <w:p w:rsidR="0012447E" w:rsidRDefault="0012447E" w:rsidP="00F85072">
      <w:pPr>
        <w:pStyle w:val="BodyTextIndent2"/>
        <w:keepNext/>
        <w:tabs>
          <w:tab w:val="left" w:pos="360"/>
        </w:tabs>
        <w:spacing w:after="0" w:line="240" w:lineRule="auto"/>
        <w:ind w:left="720"/>
        <w:jc w:val="both"/>
        <w:rPr>
          <w:b/>
          <w:sz w:val="22"/>
          <w:szCs w:val="22"/>
          <w:lang w:val="en-GB"/>
        </w:rPr>
      </w:pPr>
    </w:p>
    <w:p w:rsidR="0012447E" w:rsidRDefault="0012447E" w:rsidP="00F85072">
      <w:pPr>
        <w:pStyle w:val="BodyTextIndent2"/>
        <w:keepNext/>
        <w:tabs>
          <w:tab w:val="left" w:pos="360"/>
        </w:tabs>
        <w:spacing w:after="0" w:line="240" w:lineRule="auto"/>
        <w:ind w:left="720"/>
        <w:jc w:val="both"/>
        <w:rPr>
          <w:b/>
          <w:sz w:val="22"/>
          <w:szCs w:val="22"/>
          <w:lang w:val="en-GB"/>
        </w:rPr>
      </w:pPr>
    </w:p>
    <w:p w:rsidR="0012447E" w:rsidRDefault="0012447E" w:rsidP="00F326D1">
      <w:pPr>
        <w:pStyle w:val="BodyTextIndent2"/>
        <w:spacing w:after="0" w:line="240" w:lineRule="auto"/>
        <w:ind w:left="720"/>
        <w:jc w:val="both"/>
        <w:rPr>
          <w:sz w:val="22"/>
          <w:szCs w:val="22"/>
        </w:rPr>
      </w:pPr>
      <w:r>
        <w:rPr>
          <w:sz w:val="22"/>
          <w:szCs w:val="22"/>
        </w:rPr>
        <w:t xml:space="preserve">Income tax provision for the current year is mainly in respect of a manufacturing subsidiary.  </w:t>
      </w:r>
    </w:p>
    <w:p w:rsidR="0012447E" w:rsidRDefault="0012447E" w:rsidP="008C495C">
      <w:pPr>
        <w:pStyle w:val="BodyTextIndent2"/>
        <w:keepNext/>
        <w:tabs>
          <w:tab w:val="left" w:pos="360"/>
        </w:tabs>
        <w:spacing w:after="0" w:line="240" w:lineRule="auto"/>
        <w:ind w:left="0"/>
        <w:jc w:val="both"/>
        <w:rPr>
          <w:color w:val="0000FF"/>
          <w:sz w:val="22"/>
          <w:szCs w:val="22"/>
        </w:rPr>
      </w:pPr>
    </w:p>
    <w:p w:rsidR="0012447E" w:rsidRPr="00743520" w:rsidRDefault="0012447E" w:rsidP="004D504D">
      <w:pPr>
        <w:pStyle w:val="BodyTextIndent2"/>
        <w:spacing w:after="0" w:line="240" w:lineRule="auto"/>
        <w:ind w:left="0"/>
        <w:jc w:val="both"/>
        <w:rPr>
          <w:b/>
          <w:sz w:val="22"/>
          <w:szCs w:val="22"/>
          <w:lang w:val="en-GB"/>
        </w:rPr>
      </w:pPr>
      <w:r>
        <w:rPr>
          <w:b/>
          <w:bCs/>
          <w:sz w:val="22"/>
          <w:szCs w:val="22"/>
          <w:lang w:val="en-GB"/>
        </w:rPr>
        <w:t>B6</w:t>
      </w:r>
      <w:r w:rsidRPr="00743520">
        <w:rPr>
          <w:b/>
          <w:bCs/>
          <w:sz w:val="22"/>
          <w:szCs w:val="22"/>
          <w:lang w:val="en-GB"/>
        </w:rPr>
        <w:t>.</w:t>
      </w:r>
      <w:r w:rsidRPr="00743520">
        <w:rPr>
          <w:b/>
          <w:bCs/>
          <w:sz w:val="22"/>
          <w:szCs w:val="22"/>
          <w:lang w:val="en-GB"/>
        </w:rPr>
        <w:tab/>
        <w:t xml:space="preserve">Status of Corporate Proposals </w:t>
      </w:r>
      <w:r w:rsidRPr="00743520">
        <w:rPr>
          <w:b/>
          <w:sz w:val="22"/>
          <w:szCs w:val="22"/>
          <w:lang w:val="en-GB"/>
        </w:rPr>
        <w:t xml:space="preserve"> </w:t>
      </w:r>
    </w:p>
    <w:p w:rsidR="0012447E" w:rsidRPr="00063BB5" w:rsidRDefault="0012447E" w:rsidP="004D504D">
      <w:pPr>
        <w:pStyle w:val="BodyTextIndent2"/>
        <w:spacing w:after="0" w:line="240" w:lineRule="auto"/>
        <w:ind w:left="0"/>
        <w:jc w:val="both"/>
        <w:rPr>
          <w:sz w:val="22"/>
          <w:szCs w:val="22"/>
        </w:rPr>
      </w:pPr>
      <w:r w:rsidRPr="00743520">
        <w:rPr>
          <w:sz w:val="22"/>
          <w:szCs w:val="22"/>
        </w:rPr>
        <w:t xml:space="preserve">             </w:t>
      </w:r>
    </w:p>
    <w:p w:rsidR="0012447E" w:rsidRDefault="0012447E" w:rsidP="00D019A8">
      <w:pPr>
        <w:ind w:left="720"/>
        <w:jc w:val="both"/>
        <w:rPr>
          <w:sz w:val="22"/>
          <w:szCs w:val="22"/>
        </w:rPr>
      </w:pPr>
      <w:r w:rsidRPr="00E35ABB">
        <w:rPr>
          <w:sz w:val="22"/>
          <w:szCs w:val="22"/>
        </w:rPr>
        <w:t>There were no announced corporate proposals which were not completed as at the date of this announcement</w:t>
      </w:r>
      <w:r>
        <w:rPr>
          <w:sz w:val="22"/>
          <w:szCs w:val="22"/>
        </w:rPr>
        <w:t>.</w:t>
      </w:r>
    </w:p>
    <w:p w:rsidR="0012447E" w:rsidRDefault="0012447E" w:rsidP="00D019A8">
      <w:pPr>
        <w:ind w:left="720"/>
        <w:jc w:val="both"/>
        <w:rPr>
          <w:sz w:val="22"/>
          <w:szCs w:val="22"/>
        </w:rPr>
      </w:pPr>
    </w:p>
    <w:p w:rsidR="0012447E" w:rsidRDefault="0012447E" w:rsidP="00D019A8">
      <w:pPr>
        <w:ind w:left="720"/>
        <w:jc w:val="both"/>
        <w:rPr>
          <w:sz w:val="22"/>
          <w:szCs w:val="22"/>
        </w:rPr>
      </w:pPr>
    </w:p>
    <w:p w:rsidR="0012447E" w:rsidRDefault="0012447E" w:rsidP="00D019A8">
      <w:pPr>
        <w:ind w:left="720"/>
        <w:jc w:val="both"/>
        <w:rPr>
          <w:sz w:val="22"/>
          <w:szCs w:val="22"/>
        </w:rPr>
      </w:pPr>
    </w:p>
    <w:p w:rsidR="0012447E" w:rsidRDefault="0012447E" w:rsidP="00D019A8">
      <w:pPr>
        <w:ind w:left="720"/>
        <w:jc w:val="both"/>
        <w:rPr>
          <w:sz w:val="22"/>
          <w:szCs w:val="22"/>
        </w:rPr>
      </w:pPr>
    </w:p>
    <w:p w:rsidR="0012447E" w:rsidRDefault="0012447E" w:rsidP="00D019A8">
      <w:pPr>
        <w:ind w:left="720"/>
        <w:jc w:val="both"/>
        <w:rPr>
          <w:sz w:val="22"/>
          <w:szCs w:val="22"/>
        </w:rPr>
      </w:pPr>
    </w:p>
    <w:p w:rsidR="0012447E" w:rsidRDefault="0012447E" w:rsidP="00D019A8">
      <w:pPr>
        <w:ind w:left="720"/>
        <w:jc w:val="both"/>
        <w:rPr>
          <w:sz w:val="22"/>
          <w:szCs w:val="22"/>
        </w:rPr>
      </w:pPr>
    </w:p>
    <w:p w:rsidR="0012447E" w:rsidRDefault="0012447E" w:rsidP="00D019A8">
      <w:pPr>
        <w:ind w:left="720"/>
        <w:jc w:val="both"/>
        <w:rPr>
          <w:sz w:val="22"/>
          <w:szCs w:val="22"/>
        </w:rPr>
      </w:pPr>
    </w:p>
    <w:p w:rsidR="0012447E" w:rsidRDefault="0012447E" w:rsidP="00D019A8">
      <w:pPr>
        <w:ind w:left="720"/>
        <w:jc w:val="both"/>
        <w:rPr>
          <w:sz w:val="22"/>
          <w:szCs w:val="22"/>
        </w:rPr>
      </w:pPr>
    </w:p>
    <w:p w:rsidR="0012447E" w:rsidRDefault="0012447E" w:rsidP="00D019A8">
      <w:pPr>
        <w:ind w:left="720"/>
        <w:jc w:val="both"/>
        <w:rPr>
          <w:sz w:val="22"/>
          <w:szCs w:val="22"/>
        </w:rPr>
      </w:pPr>
    </w:p>
    <w:p w:rsidR="0012447E" w:rsidRDefault="0012447E" w:rsidP="00D019A8">
      <w:pPr>
        <w:ind w:left="720"/>
        <w:jc w:val="both"/>
        <w:rPr>
          <w:sz w:val="22"/>
          <w:szCs w:val="22"/>
        </w:rPr>
      </w:pPr>
    </w:p>
    <w:p w:rsidR="0012447E" w:rsidRPr="00743520" w:rsidRDefault="0012447E" w:rsidP="000C50B7">
      <w:pPr>
        <w:pStyle w:val="BodyTextIndent2"/>
        <w:spacing w:after="0" w:line="240" w:lineRule="auto"/>
        <w:ind w:left="720" w:hanging="720"/>
        <w:jc w:val="both"/>
        <w:rPr>
          <w:b/>
          <w:bCs/>
          <w:sz w:val="22"/>
          <w:szCs w:val="22"/>
          <w:lang w:val="en-GB"/>
        </w:rPr>
      </w:pPr>
      <w:r>
        <w:rPr>
          <w:b/>
          <w:sz w:val="22"/>
          <w:szCs w:val="22"/>
          <w:lang w:val="en-GB"/>
        </w:rPr>
        <w:lastRenderedPageBreak/>
        <w:t>B7</w:t>
      </w:r>
      <w:r w:rsidRPr="00743520">
        <w:rPr>
          <w:b/>
          <w:sz w:val="22"/>
          <w:szCs w:val="22"/>
          <w:lang w:val="en-GB"/>
        </w:rPr>
        <w:t>.</w:t>
      </w:r>
      <w:r w:rsidRPr="00743520">
        <w:rPr>
          <w:b/>
          <w:sz w:val="22"/>
          <w:szCs w:val="22"/>
          <w:lang w:val="en-GB"/>
        </w:rPr>
        <w:tab/>
      </w:r>
      <w:r w:rsidRPr="00743520">
        <w:rPr>
          <w:b/>
          <w:bCs/>
          <w:sz w:val="22"/>
          <w:szCs w:val="22"/>
          <w:lang w:val="en-GB"/>
        </w:rPr>
        <w:t>Group Borrowings and Debt Securities</w:t>
      </w:r>
    </w:p>
    <w:p w:rsidR="0012447E" w:rsidRPr="00743520" w:rsidRDefault="0012447E" w:rsidP="00ED1D30">
      <w:pPr>
        <w:pStyle w:val="BodyTextIndent2"/>
        <w:spacing w:after="0" w:line="240" w:lineRule="auto"/>
        <w:ind w:left="907" w:hanging="907"/>
        <w:jc w:val="both"/>
        <w:rPr>
          <w:b/>
          <w:bCs/>
          <w:sz w:val="22"/>
          <w:szCs w:val="22"/>
          <w:lang w:val="en-GB"/>
        </w:rPr>
      </w:pPr>
    </w:p>
    <w:p w:rsidR="0012447E" w:rsidRPr="00743520" w:rsidRDefault="0012447E" w:rsidP="000C50B7">
      <w:pPr>
        <w:pStyle w:val="BodyTextIndent2"/>
        <w:spacing w:after="0" w:line="240" w:lineRule="auto"/>
        <w:ind w:left="720" w:hanging="720"/>
        <w:jc w:val="both"/>
        <w:rPr>
          <w:bCs/>
          <w:sz w:val="22"/>
          <w:szCs w:val="22"/>
          <w:lang w:val="en-GB"/>
        </w:rPr>
      </w:pPr>
      <w:r w:rsidRPr="00743520">
        <w:rPr>
          <w:b/>
          <w:bCs/>
          <w:sz w:val="22"/>
          <w:szCs w:val="22"/>
          <w:lang w:val="en-GB"/>
        </w:rPr>
        <w:tab/>
      </w:r>
      <w:r w:rsidRPr="00743520">
        <w:rPr>
          <w:bCs/>
          <w:sz w:val="22"/>
          <w:szCs w:val="22"/>
          <w:lang w:val="en-GB"/>
        </w:rPr>
        <w:t xml:space="preserve">The Group’s borrowings and debt securities which are denominated in Ringgit Malaysia as at </w:t>
      </w:r>
      <w:r>
        <w:rPr>
          <w:bCs/>
          <w:sz w:val="22"/>
          <w:szCs w:val="22"/>
          <w:lang w:val="en-GB"/>
        </w:rPr>
        <w:t>31 January 2012</w:t>
      </w:r>
      <w:r w:rsidRPr="00743520">
        <w:rPr>
          <w:bCs/>
          <w:sz w:val="22"/>
          <w:szCs w:val="22"/>
          <w:lang w:val="en-GB"/>
        </w:rPr>
        <w:t xml:space="preserve"> are as follows:</w:t>
      </w:r>
    </w:p>
    <w:tbl>
      <w:tblPr>
        <w:tblW w:w="8370" w:type="dxa"/>
        <w:tblInd w:w="918" w:type="dxa"/>
        <w:tblLook w:val="01E0"/>
      </w:tblPr>
      <w:tblGrid>
        <w:gridCol w:w="6660"/>
        <w:gridCol w:w="1710"/>
      </w:tblGrid>
      <w:tr w:rsidR="0012447E" w:rsidRPr="007C5606" w:rsidTr="007C5606">
        <w:tc>
          <w:tcPr>
            <w:tcW w:w="6660" w:type="dxa"/>
          </w:tcPr>
          <w:p w:rsidR="0012447E" w:rsidRPr="007C5606" w:rsidRDefault="0012447E" w:rsidP="007C5606">
            <w:pPr>
              <w:pStyle w:val="BodyTextIndent2"/>
              <w:spacing w:after="0" w:line="240" w:lineRule="auto"/>
              <w:ind w:left="0"/>
              <w:jc w:val="both"/>
              <w:rPr>
                <w:sz w:val="22"/>
                <w:szCs w:val="22"/>
              </w:rPr>
            </w:pPr>
          </w:p>
        </w:tc>
        <w:tc>
          <w:tcPr>
            <w:tcW w:w="1710" w:type="dxa"/>
          </w:tcPr>
          <w:p w:rsidR="0012447E" w:rsidRPr="007C5606" w:rsidRDefault="0012447E" w:rsidP="007C5606">
            <w:pPr>
              <w:pStyle w:val="BodyTextIndent2"/>
              <w:spacing w:after="0" w:line="240" w:lineRule="auto"/>
              <w:ind w:left="0"/>
              <w:jc w:val="right"/>
              <w:rPr>
                <w:b/>
                <w:sz w:val="22"/>
                <w:szCs w:val="22"/>
              </w:rPr>
            </w:pPr>
            <w:r w:rsidRPr="007C5606">
              <w:rPr>
                <w:b/>
                <w:sz w:val="22"/>
                <w:szCs w:val="22"/>
              </w:rPr>
              <w:t>RM’000</w:t>
            </w:r>
          </w:p>
        </w:tc>
      </w:tr>
      <w:tr w:rsidR="0012447E" w:rsidRPr="007C5606" w:rsidTr="007C5606">
        <w:tc>
          <w:tcPr>
            <w:tcW w:w="6660" w:type="dxa"/>
          </w:tcPr>
          <w:p w:rsidR="0012447E" w:rsidRPr="007C5606" w:rsidRDefault="0012447E" w:rsidP="007C5606">
            <w:pPr>
              <w:pStyle w:val="BodyTextIndent2"/>
              <w:spacing w:after="0" w:line="240" w:lineRule="auto"/>
              <w:ind w:left="0"/>
              <w:jc w:val="both"/>
              <w:rPr>
                <w:sz w:val="22"/>
                <w:szCs w:val="22"/>
              </w:rPr>
            </w:pPr>
            <w:r w:rsidRPr="007C5606">
              <w:rPr>
                <w:sz w:val="22"/>
                <w:szCs w:val="22"/>
                <w:lang w:val="en-GB"/>
              </w:rPr>
              <w:t>Short term borrowings</w:t>
            </w:r>
          </w:p>
        </w:tc>
        <w:tc>
          <w:tcPr>
            <w:tcW w:w="1710" w:type="dxa"/>
          </w:tcPr>
          <w:p w:rsidR="0012447E" w:rsidRPr="007C5606" w:rsidRDefault="0012447E" w:rsidP="007C5606">
            <w:pPr>
              <w:pStyle w:val="BodyTextIndent2"/>
              <w:spacing w:after="0" w:line="240" w:lineRule="auto"/>
              <w:ind w:left="0"/>
              <w:jc w:val="both"/>
              <w:rPr>
                <w:color w:val="0000FF"/>
                <w:sz w:val="22"/>
                <w:szCs w:val="22"/>
              </w:rPr>
            </w:pPr>
          </w:p>
        </w:tc>
      </w:tr>
      <w:tr w:rsidR="0012447E" w:rsidRPr="007C5606" w:rsidTr="007C5606">
        <w:tc>
          <w:tcPr>
            <w:tcW w:w="6660" w:type="dxa"/>
          </w:tcPr>
          <w:p w:rsidR="0012447E" w:rsidRPr="007C5606" w:rsidRDefault="0012447E" w:rsidP="007C5606">
            <w:pPr>
              <w:pStyle w:val="BodyTextIndent2"/>
              <w:spacing w:after="0" w:line="240" w:lineRule="auto"/>
              <w:ind w:left="0"/>
              <w:jc w:val="both"/>
              <w:rPr>
                <w:sz w:val="22"/>
                <w:szCs w:val="22"/>
              </w:rPr>
            </w:pPr>
            <w:r w:rsidRPr="007C5606">
              <w:rPr>
                <w:sz w:val="22"/>
                <w:szCs w:val="22"/>
              </w:rPr>
              <w:t>- secured</w:t>
            </w:r>
          </w:p>
        </w:tc>
        <w:tc>
          <w:tcPr>
            <w:tcW w:w="1710" w:type="dxa"/>
          </w:tcPr>
          <w:p w:rsidR="0012447E" w:rsidRPr="007C5606" w:rsidRDefault="0012447E" w:rsidP="007C5606">
            <w:pPr>
              <w:pStyle w:val="BodyTextIndent2"/>
              <w:spacing w:after="0" w:line="240" w:lineRule="auto"/>
              <w:ind w:left="0"/>
              <w:jc w:val="right"/>
              <w:rPr>
                <w:sz w:val="22"/>
                <w:szCs w:val="22"/>
              </w:rPr>
            </w:pPr>
            <w:r w:rsidRPr="007C5606">
              <w:rPr>
                <w:sz w:val="22"/>
                <w:szCs w:val="22"/>
              </w:rPr>
              <w:t>12,</w:t>
            </w:r>
            <w:r w:rsidR="0035066B">
              <w:rPr>
                <w:sz w:val="22"/>
                <w:szCs w:val="22"/>
              </w:rPr>
              <w:t>926</w:t>
            </w:r>
          </w:p>
        </w:tc>
      </w:tr>
      <w:tr w:rsidR="0012447E" w:rsidRPr="007C5606" w:rsidTr="007C5606">
        <w:tc>
          <w:tcPr>
            <w:tcW w:w="6660" w:type="dxa"/>
          </w:tcPr>
          <w:p w:rsidR="0012447E" w:rsidRPr="007C5606" w:rsidRDefault="0012447E" w:rsidP="007C5606">
            <w:pPr>
              <w:pStyle w:val="BodyTextIndent2"/>
              <w:spacing w:after="0" w:line="240" w:lineRule="auto"/>
              <w:ind w:left="0"/>
              <w:jc w:val="both"/>
              <w:rPr>
                <w:sz w:val="22"/>
                <w:szCs w:val="22"/>
              </w:rPr>
            </w:pPr>
            <w:r w:rsidRPr="007C5606">
              <w:rPr>
                <w:sz w:val="22"/>
                <w:szCs w:val="22"/>
              </w:rPr>
              <w:t>- unsecured</w:t>
            </w:r>
          </w:p>
        </w:tc>
        <w:tc>
          <w:tcPr>
            <w:tcW w:w="1710" w:type="dxa"/>
          </w:tcPr>
          <w:p w:rsidR="0012447E" w:rsidRPr="007C5606" w:rsidRDefault="0012447E" w:rsidP="007C5606">
            <w:pPr>
              <w:pStyle w:val="BodyTextIndent2"/>
              <w:spacing w:after="0" w:line="240" w:lineRule="auto"/>
              <w:ind w:left="0"/>
              <w:jc w:val="right"/>
              <w:rPr>
                <w:sz w:val="22"/>
                <w:szCs w:val="22"/>
              </w:rPr>
            </w:pPr>
            <w:r w:rsidRPr="007C5606">
              <w:rPr>
                <w:sz w:val="22"/>
                <w:szCs w:val="22"/>
              </w:rPr>
              <w:t>2</w:t>
            </w:r>
            <w:r>
              <w:rPr>
                <w:sz w:val="22"/>
                <w:szCs w:val="22"/>
              </w:rPr>
              <w:t>0,069</w:t>
            </w:r>
          </w:p>
        </w:tc>
      </w:tr>
      <w:tr w:rsidR="0012447E" w:rsidRPr="007C5606" w:rsidTr="007C5606">
        <w:tc>
          <w:tcPr>
            <w:tcW w:w="6660" w:type="dxa"/>
          </w:tcPr>
          <w:p w:rsidR="0012447E" w:rsidRPr="007C5606" w:rsidRDefault="0012447E" w:rsidP="007C5606">
            <w:pPr>
              <w:pStyle w:val="BodyTextIndent2"/>
              <w:spacing w:after="0" w:line="240" w:lineRule="auto"/>
              <w:ind w:left="0"/>
              <w:jc w:val="both"/>
              <w:rPr>
                <w:sz w:val="22"/>
                <w:szCs w:val="22"/>
              </w:rPr>
            </w:pPr>
          </w:p>
        </w:tc>
        <w:tc>
          <w:tcPr>
            <w:tcW w:w="1710" w:type="dxa"/>
            <w:tcBorders>
              <w:top w:val="single" w:sz="4" w:space="0" w:color="auto"/>
            </w:tcBorders>
          </w:tcPr>
          <w:p w:rsidR="0012447E" w:rsidRPr="007C5606" w:rsidRDefault="0012447E" w:rsidP="007C5606">
            <w:pPr>
              <w:pStyle w:val="BodyTextIndent2"/>
              <w:spacing w:after="0" w:line="240" w:lineRule="auto"/>
              <w:ind w:left="0"/>
              <w:jc w:val="right"/>
              <w:rPr>
                <w:sz w:val="22"/>
                <w:szCs w:val="22"/>
              </w:rPr>
            </w:pPr>
            <w:r>
              <w:rPr>
                <w:sz w:val="22"/>
                <w:szCs w:val="22"/>
              </w:rPr>
              <w:t>32,</w:t>
            </w:r>
            <w:r w:rsidR="0035066B">
              <w:rPr>
                <w:sz w:val="22"/>
                <w:szCs w:val="22"/>
              </w:rPr>
              <w:t>995</w:t>
            </w:r>
          </w:p>
        </w:tc>
      </w:tr>
      <w:tr w:rsidR="0012447E" w:rsidRPr="007C5606" w:rsidTr="007C5606">
        <w:tc>
          <w:tcPr>
            <w:tcW w:w="6660" w:type="dxa"/>
          </w:tcPr>
          <w:p w:rsidR="0012447E" w:rsidRPr="007C5606" w:rsidRDefault="0012447E" w:rsidP="007C5606">
            <w:pPr>
              <w:pStyle w:val="BodyTextIndent2"/>
              <w:spacing w:after="0" w:line="240" w:lineRule="auto"/>
              <w:ind w:left="0"/>
              <w:jc w:val="both"/>
              <w:rPr>
                <w:sz w:val="22"/>
                <w:szCs w:val="22"/>
              </w:rPr>
            </w:pPr>
            <w:r w:rsidRPr="007C5606">
              <w:rPr>
                <w:sz w:val="22"/>
                <w:szCs w:val="22"/>
                <w:lang w:val="en-GB"/>
              </w:rPr>
              <w:t>Long term borrowings</w:t>
            </w:r>
          </w:p>
        </w:tc>
        <w:tc>
          <w:tcPr>
            <w:tcW w:w="1710" w:type="dxa"/>
          </w:tcPr>
          <w:p w:rsidR="0012447E" w:rsidRPr="007C5606" w:rsidRDefault="0012447E" w:rsidP="007C5606">
            <w:pPr>
              <w:pStyle w:val="BodyTextIndent2"/>
              <w:spacing w:after="0" w:line="240" w:lineRule="auto"/>
              <w:ind w:left="0"/>
              <w:jc w:val="both"/>
              <w:rPr>
                <w:sz w:val="22"/>
                <w:szCs w:val="22"/>
              </w:rPr>
            </w:pPr>
          </w:p>
        </w:tc>
      </w:tr>
      <w:tr w:rsidR="0012447E" w:rsidRPr="007C5606" w:rsidTr="007C5606">
        <w:tc>
          <w:tcPr>
            <w:tcW w:w="6660" w:type="dxa"/>
          </w:tcPr>
          <w:p w:rsidR="0012447E" w:rsidRPr="007C5606" w:rsidRDefault="0012447E" w:rsidP="007C5606">
            <w:pPr>
              <w:pStyle w:val="BodyTextIndent2"/>
              <w:spacing w:after="0" w:line="240" w:lineRule="auto"/>
              <w:ind w:left="0"/>
              <w:jc w:val="both"/>
              <w:rPr>
                <w:sz w:val="22"/>
                <w:szCs w:val="22"/>
              </w:rPr>
            </w:pPr>
            <w:r w:rsidRPr="007C5606">
              <w:rPr>
                <w:sz w:val="22"/>
                <w:szCs w:val="22"/>
              </w:rPr>
              <w:t>- secured</w:t>
            </w:r>
          </w:p>
        </w:tc>
        <w:tc>
          <w:tcPr>
            <w:tcW w:w="1710" w:type="dxa"/>
          </w:tcPr>
          <w:p w:rsidR="0012447E" w:rsidRPr="007C5606" w:rsidRDefault="0012447E" w:rsidP="007C5606">
            <w:pPr>
              <w:pStyle w:val="BodyTextIndent2"/>
              <w:spacing w:after="0" w:line="240" w:lineRule="auto"/>
              <w:ind w:left="0"/>
              <w:jc w:val="right"/>
              <w:rPr>
                <w:sz w:val="22"/>
                <w:szCs w:val="22"/>
              </w:rPr>
            </w:pPr>
            <w:r w:rsidRPr="007C5606">
              <w:rPr>
                <w:sz w:val="22"/>
                <w:szCs w:val="22"/>
              </w:rPr>
              <w:t>109,000</w:t>
            </w:r>
          </w:p>
        </w:tc>
      </w:tr>
      <w:tr w:rsidR="0012447E" w:rsidRPr="007C5606" w:rsidTr="007C5606">
        <w:tc>
          <w:tcPr>
            <w:tcW w:w="6660" w:type="dxa"/>
          </w:tcPr>
          <w:p w:rsidR="0012447E" w:rsidRPr="007C5606" w:rsidRDefault="0012447E" w:rsidP="007C5606">
            <w:pPr>
              <w:pStyle w:val="BodyTextIndent2"/>
              <w:spacing w:after="0" w:line="240" w:lineRule="auto"/>
              <w:ind w:left="0"/>
              <w:jc w:val="both"/>
              <w:rPr>
                <w:sz w:val="22"/>
                <w:szCs w:val="22"/>
              </w:rPr>
            </w:pPr>
            <w:r w:rsidRPr="007C5606">
              <w:rPr>
                <w:sz w:val="22"/>
                <w:szCs w:val="22"/>
              </w:rPr>
              <w:t>Total borrowings</w:t>
            </w:r>
          </w:p>
        </w:tc>
        <w:tc>
          <w:tcPr>
            <w:tcW w:w="1710" w:type="dxa"/>
            <w:tcBorders>
              <w:top w:val="single" w:sz="4" w:space="0" w:color="auto"/>
              <w:bottom w:val="double" w:sz="4" w:space="0" w:color="auto"/>
            </w:tcBorders>
          </w:tcPr>
          <w:p w:rsidR="0012447E" w:rsidRPr="007C5606" w:rsidRDefault="0012447E" w:rsidP="007C5606">
            <w:pPr>
              <w:pStyle w:val="BodyTextIndent2"/>
              <w:spacing w:after="0" w:line="240" w:lineRule="auto"/>
              <w:ind w:left="0"/>
              <w:jc w:val="right"/>
              <w:rPr>
                <w:sz w:val="22"/>
                <w:szCs w:val="22"/>
              </w:rPr>
            </w:pPr>
            <w:r w:rsidRPr="007C5606">
              <w:rPr>
                <w:sz w:val="22"/>
                <w:szCs w:val="22"/>
              </w:rPr>
              <w:t>14</w:t>
            </w:r>
            <w:r>
              <w:rPr>
                <w:sz w:val="22"/>
                <w:szCs w:val="22"/>
              </w:rPr>
              <w:t>1,9</w:t>
            </w:r>
            <w:r w:rsidR="0035066B">
              <w:rPr>
                <w:sz w:val="22"/>
                <w:szCs w:val="22"/>
              </w:rPr>
              <w:t>95</w:t>
            </w:r>
          </w:p>
        </w:tc>
      </w:tr>
    </w:tbl>
    <w:p w:rsidR="0012447E" w:rsidRDefault="0012447E" w:rsidP="00D430B0">
      <w:pPr>
        <w:pStyle w:val="BodyTextIndent2"/>
        <w:tabs>
          <w:tab w:val="left" w:pos="720"/>
        </w:tabs>
        <w:spacing w:after="0" w:line="240" w:lineRule="auto"/>
        <w:ind w:left="0"/>
        <w:jc w:val="both"/>
        <w:rPr>
          <w:b/>
          <w:sz w:val="22"/>
          <w:szCs w:val="22"/>
          <w:lang w:val="en-GB"/>
        </w:rPr>
      </w:pPr>
    </w:p>
    <w:p w:rsidR="0012447E" w:rsidRPr="00743520" w:rsidRDefault="0012447E" w:rsidP="00D430B0">
      <w:pPr>
        <w:pStyle w:val="BodyTextIndent2"/>
        <w:tabs>
          <w:tab w:val="left" w:pos="720"/>
        </w:tabs>
        <w:spacing w:after="0" w:line="240" w:lineRule="auto"/>
        <w:ind w:left="0"/>
        <w:jc w:val="both"/>
        <w:rPr>
          <w:b/>
          <w:sz w:val="22"/>
          <w:szCs w:val="22"/>
          <w:lang w:val="en-GB"/>
        </w:rPr>
      </w:pPr>
      <w:r>
        <w:rPr>
          <w:b/>
          <w:sz w:val="22"/>
          <w:szCs w:val="22"/>
          <w:lang w:val="en-GB"/>
        </w:rPr>
        <w:t>B8</w:t>
      </w:r>
      <w:r w:rsidRPr="00743520">
        <w:rPr>
          <w:b/>
          <w:sz w:val="22"/>
          <w:szCs w:val="22"/>
          <w:lang w:val="en-GB"/>
        </w:rPr>
        <w:t>.</w:t>
      </w:r>
      <w:r w:rsidRPr="00743520">
        <w:rPr>
          <w:b/>
          <w:sz w:val="22"/>
          <w:szCs w:val="22"/>
          <w:lang w:val="en-GB"/>
        </w:rPr>
        <w:tab/>
        <w:t>Off Balance Sheet Risk Financial Instruments</w:t>
      </w:r>
    </w:p>
    <w:p w:rsidR="0012447E" w:rsidRPr="00743520" w:rsidRDefault="0012447E" w:rsidP="00D430B0">
      <w:pPr>
        <w:pStyle w:val="BodyTextIndent2"/>
        <w:tabs>
          <w:tab w:val="left" w:pos="720"/>
        </w:tabs>
        <w:spacing w:after="0" w:line="240" w:lineRule="auto"/>
        <w:ind w:left="0"/>
        <w:jc w:val="both"/>
        <w:rPr>
          <w:b/>
          <w:bCs/>
          <w:sz w:val="22"/>
          <w:szCs w:val="22"/>
          <w:lang w:val="en-GB"/>
        </w:rPr>
      </w:pPr>
    </w:p>
    <w:p w:rsidR="0012447E" w:rsidRPr="00743520" w:rsidRDefault="0012447E" w:rsidP="0019652F">
      <w:pPr>
        <w:pStyle w:val="BodyTextIndent3"/>
        <w:spacing w:after="0"/>
        <w:ind w:left="720"/>
        <w:jc w:val="both"/>
        <w:rPr>
          <w:sz w:val="22"/>
          <w:szCs w:val="22"/>
        </w:rPr>
      </w:pPr>
      <w:r w:rsidRPr="00743520">
        <w:rPr>
          <w:sz w:val="22"/>
          <w:szCs w:val="22"/>
        </w:rPr>
        <w:t>The Group did not contract for any financial instruments with off balance sheet risk as at the date of this announcement.</w:t>
      </w:r>
    </w:p>
    <w:p w:rsidR="0012447E" w:rsidRDefault="0012447E" w:rsidP="004E321F">
      <w:pPr>
        <w:pStyle w:val="BodyTextIndent2"/>
        <w:spacing w:after="0" w:line="240" w:lineRule="auto"/>
        <w:ind w:left="-144" w:firstLine="144"/>
        <w:jc w:val="both"/>
        <w:rPr>
          <w:b/>
          <w:sz w:val="22"/>
          <w:szCs w:val="22"/>
          <w:lang w:val="en-GB"/>
        </w:rPr>
      </w:pPr>
    </w:p>
    <w:p w:rsidR="0012447E" w:rsidRDefault="0012447E" w:rsidP="004E321F">
      <w:pPr>
        <w:pStyle w:val="BodyTextIndent2"/>
        <w:spacing w:after="0" w:line="240" w:lineRule="auto"/>
        <w:ind w:left="-144" w:firstLine="144"/>
        <w:jc w:val="both"/>
        <w:rPr>
          <w:b/>
          <w:sz w:val="22"/>
          <w:szCs w:val="22"/>
          <w:lang w:val="en-GB"/>
        </w:rPr>
      </w:pPr>
    </w:p>
    <w:p w:rsidR="0012447E" w:rsidRPr="00743520" w:rsidRDefault="0012447E" w:rsidP="004E321F">
      <w:pPr>
        <w:pStyle w:val="BodyTextIndent2"/>
        <w:spacing w:after="0" w:line="240" w:lineRule="auto"/>
        <w:ind w:left="-144" w:firstLine="144"/>
        <w:jc w:val="both"/>
        <w:rPr>
          <w:b/>
          <w:sz w:val="22"/>
          <w:szCs w:val="22"/>
          <w:lang w:val="en-GB"/>
        </w:rPr>
      </w:pPr>
      <w:r>
        <w:rPr>
          <w:b/>
          <w:sz w:val="22"/>
          <w:szCs w:val="22"/>
          <w:lang w:val="en-GB"/>
        </w:rPr>
        <w:t>B9</w:t>
      </w:r>
      <w:r w:rsidRPr="00743520">
        <w:rPr>
          <w:b/>
          <w:sz w:val="22"/>
          <w:szCs w:val="22"/>
          <w:lang w:val="en-GB"/>
        </w:rPr>
        <w:t>.</w:t>
      </w:r>
      <w:r w:rsidRPr="00743520">
        <w:rPr>
          <w:b/>
          <w:sz w:val="22"/>
          <w:szCs w:val="22"/>
          <w:lang w:val="en-GB"/>
        </w:rPr>
        <w:tab/>
        <w:t>Material Litigation</w:t>
      </w:r>
    </w:p>
    <w:p w:rsidR="0012447E" w:rsidRPr="00743520" w:rsidRDefault="0012447E" w:rsidP="004E321F">
      <w:pPr>
        <w:pStyle w:val="BodyTextIndent2"/>
        <w:spacing w:after="0" w:line="240" w:lineRule="auto"/>
        <w:ind w:left="-144" w:firstLine="144"/>
        <w:jc w:val="both"/>
        <w:rPr>
          <w:b/>
          <w:sz w:val="22"/>
          <w:szCs w:val="22"/>
          <w:lang w:val="en-GB"/>
        </w:rPr>
      </w:pPr>
    </w:p>
    <w:p w:rsidR="0012447E" w:rsidRDefault="0012447E" w:rsidP="004E321F">
      <w:pPr>
        <w:pStyle w:val="BodyTextIndent2"/>
        <w:spacing w:after="0" w:line="240" w:lineRule="auto"/>
        <w:ind w:left="720"/>
        <w:jc w:val="both"/>
        <w:rPr>
          <w:sz w:val="22"/>
          <w:szCs w:val="22"/>
          <w:lang w:val="en-GB"/>
        </w:rPr>
      </w:pPr>
      <w:r>
        <w:rPr>
          <w:sz w:val="22"/>
          <w:szCs w:val="22"/>
          <w:lang w:val="en-GB"/>
        </w:rPr>
        <w:t>The Group has</w:t>
      </w:r>
      <w:r w:rsidRPr="00743520">
        <w:rPr>
          <w:sz w:val="22"/>
          <w:szCs w:val="22"/>
          <w:lang w:val="en-GB"/>
        </w:rPr>
        <w:t xml:space="preserve"> not engaged in any material litigation </w:t>
      </w:r>
      <w:r>
        <w:rPr>
          <w:sz w:val="22"/>
          <w:szCs w:val="22"/>
          <w:lang w:val="en-GB"/>
        </w:rPr>
        <w:t>since the last annual year end date.</w:t>
      </w:r>
    </w:p>
    <w:p w:rsidR="0012447E" w:rsidRDefault="0012447E" w:rsidP="004E321F">
      <w:pPr>
        <w:pStyle w:val="BodyTextIndent2"/>
        <w:spacing w:after="0" w:line="240" w:lineRule="auto"/>
        <w:ind w:left="720"/>
        <w:jc w:val="both"/>
        <w:rPr>
          <w:sz w:val="22"/>
          <w:szCs w:val="22"/>
          <w:lang w:val="en-GB"/>
        </w:rPr>
      </w:pPr>
    </w:p>
    <w:p w:rsidR="0012447E" w:rsidRDefault="0012447E" w:rsidP="004E321F">
      <w:pPr>
        <w:pStyle w:val="BodyTextIndent2"/>
        <w:spacing w:after="0" w:line="240" w:lineRule="auto"/>
        <w:ind w:left="720"/>
        <w:jc w:val="both"/>
        <w:rPr>
          <w:sz w:val="22"/>
          <w:szCs w:val="22"/>
          <w:lang w:val="en-GB"/>
        </w:rPr>
      </w:pPr>
    </w:p>
    <w:p w:rsidR="0012447E" w:rsidRDefault="0012447E" w:rsidP="00167973">
      <w:pPr>
        <w:pStyle w:val="BodyTextIndent2"/>
        <w:spacing w:after="0" w:line="240" w:lineRule="auto"/>
        <w:ind w:left="0"/>
        <w:jc w:val="both"/>
        <w:rPr>
          <w:b/>
          <w:sz w:val="22"/>
          <w:szCs w:val="22"/>
          <w:lang w:val="en-GB"/>
        </w:rPr>
      </w:pPr>
      <w:r>
        <w:rPr>
          <w:b/>
          <w:sz w:val="22"/>
          <w:szCs w:val="22"/>
          <w:lang w:val="en-GB"/>
        </w:rPr>
        <w:t>B10</w:t>
      </w:r>
      <w:r w:rsidRPr="00E84A47">
        <w:rPr>
          <w:b/>
          <w:sz w:val="22"/>
          <w:szCs w:val="22"/>
          <w:lang w:val="en-GB"/>
        </w:rPr>
        <w:t xml:space="preserve">. </w:t>
      </w:r>
      <w:r w:rsidRPr="00E84A47">
        <w:rPr>
          <w:b/>
          <w:sz w:val="22"/>
          <w:szCs w:val="22"/>
          <w:lang w:val="en-GB"/>
        </w:rPr>
        <w:tab/>
        <w:t xml:space="preserve">Dividend </w:t>
      </w:r>
    </w:p>
    <w:p w:rsidR="0012447E" w:rsidRDefault="0012447E" w:rsidP="00167973">
      <w:pPr>
        <w:pStyle w:val="BodyTextIndent2"/>
        <w:spacing w:after="0" w:line="240" w:lineRule="auto"/>
        <w:ind w:left="0"/>
        <w:jc w:val="both"/>
        <w:rPr>
          <w:b/>
          <w:sz w:val="22"/>
          <w:szCs w:val="22"/>
          <w:lang w:val="en-GB"/>
        </w:rPr>
      </w:pPr>
    </w:p>
    <w:p w:rsidR="0012447E" w:rsidRDefault="0012447E" w:rsidP="00167973">
      <w:pPr>
        <w:pStyle w:val="BodyTextIndent2"/>
        <w:spacing w:after="0" w:line="240" w:lineRule="auto"/>
        <w:ind w:left="0"/>
        <w:jc w:val="both"/>
        <w:rPr>
          <w:sz w:val="22"/>
          <w:szCs w:val="22"/>
          <w:lang w:val="en-GB"/>
        </w:rPr>
      </w:pPr>
      <w:r>
        <w:rPr>
          <w:b/>
          <w:sz w:val="22"/>
          <w:szCs w:val="22"/>
          <w:lang w:val="en-GB"/>
        </w:rPr>
        <w:tab/>
      </w:r>
      <w:r w:rsidRPr="00E84A47">
        <w:rPr>
          <w:sz w:val="22"/>
          <w:szCs w:val="22"/>
          <w:lang w:val="en-GB"/>
        </w:rPr>
        <w:t xml:space="preserve">No dividend has been declared for the current and preceding </w:t>
      </w:r>
      <w:r>
        <w:rPr>
          <w:sz w:val="22"/>
          <w:szCs w:val="22"/>
          <w:lang w:val="en-GB"/>
        </w:rPr>
        <w:t>financial year</w:t>
      </w:r>
      <w:r w:rsidRPr="00E84A47">
        <w:rPr>
          <w:sz w:val="22"/>
          <w:szCs w:val="22"/>
          <w:lang w:val="en-GB"/>
        </w:rPr>
        <w:t>.</w:t>
      </w:r>
    </w:p>
    <w:p w:rsidR="0012447E" w:rsidRDefault="0012447E" w:rsidP="00167973">
      <w:pPr>
        <w:pStyle w:val="BodyTextIndent2"/>
        <w:spacing w:after="0" w:line="240" w:lineRule="auto"/>
        <w:ind w:left="0"/>
        <w:jc w:val="both"/>
        <w:rPr>
          <w:sz w:val="22"/>
          <w:szCs w:val="22"/>
          <w:lang w:val="en-GB"/>
        </w:rPr>
      </w:pPr>
    </w:p>
    <w:p w:rsidR="0012447E" w:rsidRPr="00E84A47" w:rsidRDefault="0012447E" w:rsidP="00167973">
      <w:pPr>
        <w:pStyle w:val="BodyTextIndent2"/>
        <w:spacing w:after="0" w:line="240" w:lineRule="auto"/>
        <w:ind w:left="0"/>
        <w:jc w:val="both"/>
        <w:rPr>
          <w:sz w:val="22"/>
          <w:szCs w:val="22"/>
          <w:lang w:val="en-GB"/>
        </w:rPr>
      </w:pPr>
    </w:p>
    <w:p w:rsidR="0012447E" w:rsidRPr="00743520" w:rsidRDefault="0012447E" w:rsidP="00ED1D30">
      <w:pPr>
        <w:pStyle w:val="BodyTextIndent2"/>
        <w:spacing w:after="0" w:line="240" w:lineRule="auto"/>
        <w:ind w:left="0"/>
        <w:jc w:val="both"/>
        <w:rPr>
          <w:b/>
          <w:bCs/>
          <w:sz w:val="22"/>
          <w:szCs w:val="22"/>
          <w:lang w:val="en-GB"/>
        </w:rPr>
      </w:pPr>
      <w:r w:rsidRPr="00743520">
        <w:rPr>
          <w:b/>
          <w:sz w:val="22"/>
          <w:szCs w:val="22"/>
          <w:lang w:val="en-GB"/>
        </w:rPr>
        <w:t>B1</w:t>
      </w:r>
      <w:r>
        <w:rPr>
          <w:b/>
          <w:sz w:val="22"/>
          <w:szCs w:val="22"/>
          <w:lang w:val="en-GB"/>
        </w:rPr>
        <w:t>1</w:t>
      </w:r>
      <w:r w:rsidRPr="00743520">
        <w:rPr>
          <w:b/>
          <w:sz w:val="22"/>
          <w:szCs w:val="22"/>
          <w:lang w:val="en-GB"/>
        </w:rPr>
        <w:t>.</w:t>
      </w:r>
      <w:r w:rsidRPr="00743520">
        <w:rPr>
          <w:b/>
          <w:sz w:val="22"/>
          <w:szCs w:val="22"/>
          <w:lang w:val="en-GB"/>
        </w:rPr>
        <w:tab/>
      </w:r>
      <w:r>
        <w:rPr>
          <w:b/>
          <w:sz w:val="22"/>
          <w:szCs w:val="22"/>
          <w:lang w:val="en-GB"/>
        </w:rPr>
        <w:t xml:space="preserve">Earnings </w:t>
      </w:r>
      <w:proofErr w:type="gramStart"/>
      <w:r w:rsidRPr="00743520">
        <w:rPr>
          <w:b/>
          <w:sz w:val="22"/>
          <w:szCs w:val="22"/>
          <w:lang w:val="en-GB"/>
        </w:rPr>
        <w:t>Per</w:t>
      </w:r>
      <w:proofErr w:type="gramEnd"/>
      <w:r w:rsidRPr="00743520">
        <w:rPr>
          <w:b/>
          <w:sz w:val="22"/>
          <w:szCs w:val="22"/>
          <w:lang w:val="en-GB"/>
        </w:rPr>
        <w:t xml:space="preserve"> S</w:t>
      </w:r>
      <w:r w:rsidRPr="00743520">
        <w:rPr>
          <w:b/>
          <w:bCs/>
          <w:sz w:val="22"/>
          <w:szCs w:val="22"/>
          <w:lang w:val="en-GB"/>
        </w:rPr>
        <w:t>hare</w:t>
      </w:r>
    </w:p>
    <w:p w:rsidR="0012447E" w:rsidRPr="00743520" w:rsidRDefault="0012447E" w:rsidP="00ED1D30">
      <w:pPr>
        <w:pStyle w:val="BodyTextIndent2"/>
        <w:spacing w:after="0" w:line="240" w:lineRule="auto"/>
        <w:ind w:left="0"/>
        <w:jc w:val="both"/>
        <w:rPr>
          <w:b/>
          <w:bCs/>
          <w:sz w:val="22"/>
          <w:szCs w:val="22"/>
          <w:lang w:val="en-GB"/>
        </w:rPr>
      </w:pPr>
    </w:p>
    <w:p w:rsidR="0012447E" w:rsidRPr="00743520" w:rsidRDefault="0012447E" w:rsidP="00716D4F">
      <w:pPr>
        <w:pStyle w:val="BodyTextIndent2"/>
        <w:spacing w:after="0" w:line="360" w:lineRule="auto"/>
        <w:ind w:left="0" w:firstLine="720"/>
        <w:jc w:val="both"/>
        <w:rPr>
          <w:b/>
          <w:bCs/>
          <w:sz w:val="22"/>
          <w:szCs w:val="22"/>
          <w:lang w:val="en-GB"/>
        </w:rPr>
      </w:pPr>
      <w:r w:rsidRPr="00743520">
        <w:rPr>
          <w:b/>
          <w:bCs/>
          <w:sz w:val="22"/>
          <w:szCs w:val="22"/>
          <w:lang w:val="en-GB"/>
        </w:rPr>
        <w:t>Basic</w:t>
      </w:r>
    </w:p>
    <w:p w:rsidR="0012447E" w:rsidRDefault="0012447E" w:rsidP="0051052A">
      <w:pPr>
        <w:ind w:left="720"/>
        <w:jc w:val="both"/>
        <w:rPr>
          <w:sz w:val="22"/>
          <w:szCs w:val="22"/>
        </w:rPr>
      </w:pPr>
      <w:r w:rsidRPr="00743520">
        <w:rPr>
          <w:sz w:val="22"/>
          <w:szCs w:val="22"/>
        </w:rPr>
        <w:t xml:space="preserve">The basic </w:t>
      </w:r>
      <w:r>
        <w:rPr>
          <w:sz w:val="22"/>
          <w:szCs w:val="22"/>
        </w:rPr>
        <w:t xml:space="preserve">earnings </w:t>
      </w:r>
      <w:r w:rsidRPr="00743520">
        <w:rPr>
          <w:sz w:val="22"/>
          <w:szCs w:val="22"/>
        </w:rPr>
        <w:t xml:space="preserve">per share is calculated by dividing the Group’s net </w:t>
      </w:r>
      <w:r>
        <w:rPr>
          <w:sz w:val="22"/>
          <w:szCs w:val="22"/>
        </w:rPr>
        <w:t>profit</w:t>
      </w:r>
      <w:r w:rsidRPr="00743520">
        <w:rPr>
          <w:sz w:val="22"/>
          <w:szCs w:val="22"/>
        </w:rPr>
        <w:t xml:space="preserve"> </w:t>
      </w:r>
      <w:r>
        <w:rPr>
          <w:sz w:val="22"/>
          <w:szCs w:val="22"/>
        </w:rPr>
        <w:t>attrib</w:t>
      </w:r>
      <w:r w:rsidR="00BD37E3">
        <w:rPr>
          <w:sz w:val="22"/>
          <w:szCs w:val="22"/>
        </w:rPr>
        <w:t>utable to owners of RM27,433,000</w:t>
      </w:r>
      <w:r>
        <w:rPr>
          <w:sz w:val="22"/>
          <w:szCs w:val="22"/>
        </w:rPr>
        <w:t xml:space="preserve"> for the curre</w:t>
      </w:r>
      <w:r w:rsidR="00BD37E3">
        <w:rPr>
          <w:sz w:val="22"/>
          <w:szCs w:val="22"/>
        </w:rPr>
        <w:t>nt year quarter and RM30,541,000</w:t>
      </w:r>
      <w:r>
        <w:rPr>
          <w:sz w:val="22"/>
          <w:szCs w:val="22"/>
        </w:rPr>
        <w:t xml:space="preserve"> </w:t>
      </w:r>
      <w:r w:rsidRPr="00743520">
        <w:rPr>
          <w:sz w:val="22"/>
          <w:szCs w:val="22"/>
        </w:rPr>
        <w:t xml:space="preserve">for the current </w:t>
      </w:r>
      <w:r>
        <w:rPr>
          <w:sz w:val="22"/>
          <w:szCs w:val="22"/>
        </w:rPr>
        <w:t xml:space="preserve">financial year </w:t>
      </w:r>
      <w:r w:rsidRPr="00743520">
        <w:rPr>
          <w:sz w:val="22"/>
          <w:szCs w:val="22"/>
        </w:rPr>
        <w:t xml:space="preserve">by the number of ordinary shares in issue as at </w:t>
      </w:r>
      <w:r>
        <w:rPr>
          <w:sz w:val="22"/>
          <w:szCs w:val="22"/>
        </w:rPr>
        <w:t>31 January 2012</w:t>
      </w:r>
      <w:r w:rsidRPr="00743520">
        <w:rPr>
          <w:sz w:val="22"/>
          <w:szCs w:val="22"/>
        </w:rPr>
        <w:t xml:space="preserve"> of  </w:t>
      </w:r>
      <w:r>
        <w:rPr>
          <w:sz w:val="22"/>
          <w:szCs w:val="22"/>
        </w:rPr>
        <w:t>520</w:t>
      </w:r>
      <w:r w:rsidRPr="00C427F6">
        <w:rPr>
          <w:sz w:val="22"/>
          <w:szCs w:val="22"/>
        </w:rPr>
        <w:t>,</w:t>
      </w:r>
      <w:r>
        <w:rPr>
          <w:sz w:val="22"/>
          <w:szCs w:val="22"/>
        </w:rPr>
        <w:t>991,765</w:t>
      </w:r>
      <w:r w:rsidRPr="00743520">
        <w:rPr>
          <w:sz w:val="22"/>
          <w:szCs w:val="22"/>
        </w:rPr>
        <w:t xml:space="preserve"> shares</w:t>
      </w:r>
      <w:r>
        <w:rPr>
          <w:sz w:val="22"/>
          <w:szCs w:val="22"/>
        </w:rPr>
        <w:t>.</w:t>
      </w:r>
      <w:r w:rsidRPr="00743520">
        <w:rPr>
          <w:sz w:val="22"/>
          <w:szCs w:val="22"/>
        </w:rPr>
        <w:t xml:space="preserve"> </w:t>
      </w:r>
    </w:p>
    <w:p w:rsidR="0012447E" w:rsidRDefault="0012447E" w:rsidP="0051052A">
      <w:pPr>
        <w:ind w:left="720"/>
        <w:jc w:val="both"/>
        <w:rPr>
          <w:sz w:val="22"/>
          <w:szCs w:val="22"/>
        </w:rPr>
      </w:pPr>
    </w:p>
    <w:p w:rsidR="0012447E" w:rsidRDefault="0012447E" w:rsidP="00CF7077">
      <w:pPr>
        <w:ind w:left="720"/>
        <w:jc w:val="both"/>
        <w:rPr>
          <w:sz w:val="22"/>
          <w:szCs w:val="22"/>
        </w:rPr>
      </w:pPr>
      <w:r>
        <w:rPr>
          <w:sz w:val="22"/>
          <w:szCs w:val="22"/>
        </w:rPr>
        <w:t xml:space="preserve">For the preceding year quarter and preceding financial year, the </w:t>
      </w:r>
      <w:r w:rsidRPr="00743520">
        <w:rPr>
          <w:sz w:val="22"/>
          <w:szCs w:val="22"/>
        </w:rPr>
        <w:t xml:space="preserve">basic </w:t>
      </w:r>
      <w:r>
        <w:rPr>
          <w:sz w:val="22"/>
          <w:szCs w:val="22"/>
        </w:rPr>
        <w:t xml:space="preserve">earnings </w:t>
      </w:r>
      <w:r w:rsidRPr="00743520">
        <w:rPr>
          <w:sz w:val="22"/>
          <w:szCs w:val="22"/>
        </w:rPr>
        <w:t xml:space="preserve">per share is calculated by dividing the Group’s net </w:t>
      </w:r>
      <w:r>
        <w:rPr>
          <w:sz w:val="22"/>
          <w:szCs w:val="22"/>
        </w:rPr>
        <w:t>loss</w:t>
      </w:r>
      <w:r w:rsidRPr="00743520">
        <w:rPr>
          <w:sz w:val="22"/>
          <w:szCs w:val="22"/>
        </w:rPr>
        <w:t xml:space="preserve"> </w:t>
      </w:r>
      <w:r>
        <w:rPr>
          <w:sz w:val="22"/>
          <w:szCs w:val="22"/>
        </w:rPr>
        <w:t xml:space="preserve">attributable to owners of RM26,730,000 for the current year quarter and RM50,787,000 </w:t>
      </w:r>
      <w:r w:rsidRPr="00743520">
        <w:rPr>
          <w:sz w:val="22"/>
          <w:szCs w:val="22"/>
        </w:rPr>
        <w:t xml:space="preserve">for the current </w:t>
      </w:r>
      <w:r>
        <w:rPr>
          <w:sz w:val="22"/>
          <w:szCs w:val="22"/>
        </w:rPr>
        <w:t xml:space="preserve">financial year </w:t>
      </w:r>
      <w:r w:rsidRPr="00743520">
        <w:rPr>
          <w:sz w:val="22"/>
          <w:szCs w:val="22"/>
        </w:rPr>
        <w:t xml:space="preserve">by the number of ordinary shares in issue as at </w:t>
      </w:r>
      <w:r>
        <w:rPr>
          <w:sz w:val="22"/>
          <w:szCs w:val="22"/>
        </w:rPr>
        <w:t>31 January 2011</w:t>
      </w:r>
      <w:r w:rsidRPr="00743520">
        <w:rPr>
          <w:sz w:val="22"/>
          <w:szCs w:val="22"/>
        </w:rPr>
        <w:t xml:space="preserve"> of  </w:t>
      </w:r>
      <w:r w:rsidR="0035066B">
        <w:rPr>
          <w:sz w:val="22"/>
          <w:szCs w:val="22"/>
        </w:rPr>
        <w:t>476,283,546</w:t>
      </w:r>
      <w:r w:rsidRPr="00743520">
        <w:rPr>
          <w:sz w:val="22"/>
          <w:szCs w:val="22"/>
        </w:rPr>
        <w:t xml:space="preserve"> shares</w:t>
      </w:r>
      <w:r>
        <w:rPr>
          <w:sz w:val="22"/>
          <w:szCs w:val="22"/>
        </w:rPr>
        <w:t>.</w:t>
      </w:r>
      <w:r w:rsidRPr="00743520">
        <w:rPr>
          <w:sz w:val="22"/>
          <w:szCs w:val="22"/>
        </w:rPr>
        <w:t xml:space="preserve"> </w:t>
      </w:r>
    </w:p>
    <w:p w:rsidR="0012447E" w:rsidRDefault="0012447E" w:rsidP="00716D4F">
      <w:pPr>
        <w:pStyle w:val="BodyTextIndent2"/>
        <w:spacing w:after="0" w:line="240" w:lineRule="auto"/>
        <w:jc w:val="both"/>
        <w:rPr>
          <w:sz w:val="22"/>
          <w:szCs w:val="22"/>
        </w:rPr>
      </w:pPr>
    </w:p>
    <w:p w:rsidR="0012447E" w:rsidRPr="00743520" w:rsidRDefault="0012447E" w:rsidP="00D259CC">
      <w:pPr>
        <w:pStyle w:val="BodyTextIndent2"/>
        <w:spacing w:line="240" w:lineRule="auto"/>
        <w:ind w:firstLine="360"/>
        <w:jc w:val="both"/>
        <w:rPr>
          <w:b/>
          <w:sz w:val="22"/>
          <w:szCs w:val="22"/>
        </w:rPr>
      </w:pPr>
      <w:r w:rsidRPr="00743520">
        <w:rPr>
          <w:b/>
          <w:sz w:val="22"/>
          <w:szCs w:val="22"/>
        </w:rPr>
        <w:t>Diluted</w:t>
      </w:r>
    </w:p>
    <w:p w:rsidR="0012447E" w:rsidRDefault="0012447E" w:rsidP="00BB3B33">
      <w:pPr>
        <w:pStyle w:val="BodyTextIndent2"/>
        <w:spacing w:after="0" w:line="240" w:lineRule="auto"/>
        <w:ind w:left="720"/>
        <w:jc w:val="both"/>
        <w:rPr>
          <w:sz w:val="22"/>
          <w:szCs w:val="22"/>
          <w:lang w:val="en-GB"/>
        </w:rPr>
      </w:pPr>
      <w:r w:rsidRPr="00743520">
        <w:rPr>
          <w:sz w:val="22"/>
          <w:szCs w:val="22"/>
          <w:lang w:val="en-GB"/>
        </w:rPr>
        <w:t xml:space="preserve">The diluted </w:t>
      </w:r>
      <w:proofErr w:type="gramStart"/>
      <w:r>
        <w:rPr>
          <w:sz w:val="22"/>
          <w:szCs w:val="22"/>
          <w:lang w:val="en-GB"/>
        </w:rPr>
        <w:t xml:space="preserve">earnings </w:t>
      </w:r>
      <w:r w:rsidRPr="00743520">
        <w:rPr>
          <w:sz w:val="22"/>
          <w:szCs w:val="22"/>
          <w:lang w:val="en-GB"/>
        </w:rPr>
        <w:t xml:space="preserve"> per</w:t>
      </w:r>
      <w:proofErr w:type="gramEnd"/>
      <w:r w:rsidRPr="00743520">
        <w:rPr>
          <w:sz w:val="22"/>
          <w:szCs w:val="22"/>
          <w:lang w:val="en-GB"/>
        </w:rPr>
        <w:t xml:space="preserve"> share is not calculated as the</w:t>
      </w:r>
      <w:r>
        <w:rPr>
          <w:sz w:val="22"/>
          <w:szCs w:val="22"/>
          <w:lang w:val="en-GB"/>
        </w:rPr>
        <w:t>re is no dilutive effect</w:t>
      </w:r>
      <w:r w:rsidRPr="00743520">
        <w:rPr>
          <w:sz w:val="22"/>
          <w:szCs w:val="22"/>
          <w:lang w:val="en-GB"/>
        </w:rPr>
        <w:t xml:space="preserve"> on </w:t>
      </w:r>
      <w:r>
        <w:rPr>
          <w:sz w:val="22"/>
          <w:szCs w:val="22"/>
          <w:lang w:val="en-GB"/>
        </w:rPr>
        <w:t>earnings</w:t>
      </w:r>
      <w:r w:rsidRPr="00743520">
        <w:rPr>
          <w:sz w:val="22"/>
          <w:szCs w:val="22"/>
          <w:lang w:val="en-GB"/>
        </w:rPr>
        <w:t xml:space="preserve"> per share for the current </w:t>
      </w:r>
      <w:r>
        <w:rPr>
          <w:sz w:val="22"/>
          <w:szCs w:val="22"/>
          <w:lang w:val="en-GB"/>
        </w:rPr>
        <w:t xml:space="preserve">year </w:t>
      </w:r>
      <w:r w:rsidRPr="00743520">
        <w:rPr>
          <w:sz w:val="22"/>
          <w:szCs w:val="22"/>
          <w:lang w:val="en-GB"/>
        </w:rPr>
        <w:t xml:space="preserve">quarter and </w:t>
      </w:r>
      <w:r>
        <w:rPr>
          <w:sz w:val="22"/>
          <w:szCs w:val="22"/>
          <w:lang w:val="en-GB"/>
        </w:rPr>
        <w:t>current financial year-to-date.</w:t>
      </w:r>
    </w:p>
    <w:p w:rsidR="0012447E" w:rsidRDefault="0012447E" w:rsidP="00BB3B33">
      <w:pPr>
        <w:pStyle w:val="BodyTextIndent2"/>
        <w:spacing w:after="0" w:line="240" w:lineRule="auto"/>
        <w:ind w:left="720"/>
        <w:jc w:val="both"/>
        <w:rPr>
          <w:sz w:val="22"/>
          <w:szCs w:val="22"/>
          <w:lang w:val="en-GB"/>
        </w:rPr>
      </w:pPr>
    </w:p>
    <w:p w:rsidR="0012447E" w:rsidRDefault="0012447E" w:rsidP="00BB3B33">
      <w:pPr>
        <w:pStyle w:val="BodyTextIndent2"/>
        <w:spacing w:after="0" w:line="240" w:lineRule="auto"/>
        <w:ind w:left="720"/>
        <w:jc w:val="both"/>
        <w:rPr>
          <w:sz w:val="22"/>
          <w:szCs w:val="22"/>
          <w:lang w:val="en-GB"/>
        </w:rPr>
      </w:pPr>
    </w:p>
    <w:p w:rsidR="0012447E" w:rsidRDefault="0012447E" w:rsidP="00BB3B33">
      <w:pPr>
        <w:pStyle w:val="BodyTextIndent2"/>
        <w:spacing w:after="0" w:line="240" w:lineRule="auto"/>
        <w:ind w:left="720"/>
        <w:jc w:val="both"/>
        <w:rPr>
          <w:sz w:val="22"/>
          <w:szCs w:val="22"/>
          <w:lang w:val="en-GB"/>
        </w:rPr>
      </w:pPr>
    </w:p>
    <w:p w:rsidR="0012447E" w:rsidRPr="00BB3B33" w:rsidRDefault="0012447E" w:rsidP="00BB3B33">
      <w:pPr>
        <w:pStyle w:val="BodyTextIndent2"/>
        <w:spacing w:after="0" w:line="240" w:lineRule="auto"/>
        <w:ind w:left="720"/>
        <w:jc w:val="both"/>
        <w:rPr>
          <w:sz w:val="22"/>
          <w:szCs w:val="22"/>
          <w:lang w:val="en-GB"/>
        </w:rPr>
      </w:pPr>
    </w:p>
    <w:p w:rsidR="0012447E" w:rsidRDefault="0012447E" w:rsidP="00AD0069">
      <w:pPr>
        <w:pStyle w:val="BodyTextIndent"/>
        <w:ind w:left="0"/>
        <w:jc w:val="both"/>
        <w:rPr>
          <w:b/>
          <w:sz w:val="22"/>
          <w:szCs w:val="22"/>
        </w:rPr>
      </w:pPr>
    </w:p>
    <w:p w:rsidR="0012447E" w:rsidRDefault="0012447E" w:rsidP="00AD0069">
      <w:pPr>
        <w:pStyle w:val="BodyTextIndent"/>
        <w:ind w:left="0"/>
        <w:jc w:val="both"/>
        <w:rPr>
          <w:b/>
          <w:sz w:val="22"/>
          <w:szCs w:val="22"/>
        </w:rPr>
      </w:pPr>
      <w:r>
        <w:rPr>
          <w:b/>
          <w:sz w:val="22"/>
          <w:szCs w:val="22"/>
        </w:rPr>
        <w:lastRenderedPageBreak/>
        <w:t>B12.</w:t>
      </w:r>
      <w:r>
        <w:rPr>
          <w:b/>
          <w:sz w:val="22"/>
          <w:szCs w:val="22"/>
        </w:rPr>
        <w:tab/>
      </w:r>
      <w:proofErr w:type="spellStart"/>
      <w:r>
        <w:rPr>
          <w:b/>
          <w:sz w:val="22"/>
          <w:szCs w:val="22"/>
        </w:rPr>
        <w:t>Realised</w:t>
      </w:r>
      <w:proofErr w:type="spellEnd"/>
      <w:r>
        <w:rPr>
          <w:b/>
          <w:sz w:val="22"/>
          <w:szCs w:val="22"/>
        </w:rPr>
        <w:t xml:space="preserve"> and </w:t>
      </w:r>
      <w:proofErr w:type="spellStart"/>
      <w:r>
        <w:rPr>
          <w:b/>
          <w:sz w:val="22"/>
          <w:szCs w:val="22"/>
        </w:rPr>
        <w:t>Unrealised</w:t>
      </w:r>
      <w:proofErr w:type="spellEnd"/>
      <w:r>
        <w:rPr>
          <w:b/>
          <w:sz w:val="22"/>
          <w:szCs w:val="22"/>
        </w:rPr>
        <w:t xml:space="preserve"> Profit</w:t>
      </w:r>
      <w:proofErr w:type="gramStart"/>
      <w:r>
        <w:rPr>
          <w:b/>
          <w:sz w:val="22"/>
          <w:szCs w:val="22"/>
        </w:rPr>
        <w:t>/(</w:t>
      </w:r>
      <w:proofErr w:type="gramEnd"/>
      <w:r>
        <w:rPr>
          <w:b/>
          <w:sz w:val="22"/>
          <w:szCs w:val="22"/>
        </w:rPr>
        <w:t>Losses)</w:t>
      </w:r>
    </w:p>
    <w:p w:rsidR="0012447E" w:rsidRDefault="0012447E" w:rsidP="00AD0069">
      <w:pPr>
        <w:pStyle w:val="BodyTextIndent"/>
        <w:ind w:left="0"/>
        <w:jc w:val="both"/>
        <w:rPr>
          <w:b/>
          <w:sz w:val="22"/>
          <w:szCs w:val="22"/>
        </w:rPr>
      </w:pPr>
    </w:p>
    <w:tbl>
      <w:tblPr>
        <w:tblW w:w="8653" w:type="dxa"/>
        <w:tblInd w:w="828" w:type="dxa"/>
        <w:tblLook w:val="01E0"/>
      </w:tblPr>
      <w:tblGrid>
        <w:gridCol w:w="3836"/>
        <w:gridCol w:w="2283"/>
        <w:gridCol w:w="236"/>
        <w:gridCol w:w="2298"/>
      </w:tblGrid>
      <w:tr w:rsidR="0012447E" w:rsidRPr="007C5606" w:rsidTr="007C5606">
        <w:tc>
          <w:tcPr>
            <w:tcW w:w="3836" w:type="dxa"/>
          </w:tcPr>
          <w:p w:rsidR="0012447E" w:rsidRPr="00E97DAC" w:rsidRDefault="0012447E" w:rsidP="007C5606">
            <w:pPr>
              <w:pStyle w:val="BodyTextIndent"/>
              <w:ind w:left="0"/>
              <w:jc w:val="center"/>
              <w:rPr>
                <w:sz w:val="22"/>
                <w:szCs w:val="22"/>
              </w:rPr>
            </w:pPr>
          </w:p>
        </w:tc>
        <w:tc>
          <w:tcPr>
            <w:tcW w:w="2283" w:type="dxa"/>
          </w:tcPr>
          <w:p w:rsidR="0012447E" w:rsidRPr="00E97DAC" w:rsidRDefault="0012447E" w:rsidP="007C5606">
            <w:pPr>
              <w:pStyle w:val="BodyTextIndent2"/>
              <w:spacing w:after="0" w:line="240" w:lineRule="auto"/>
              <w:ind w:left="0"/>
              <w:jc w:val="center"/>
              <w:rPr>
                <w:b/>
                <w:sz w:val="22"/>
                <w:szCs w:val="22"/>
              </w:rPr>
            </w:pPr>
            <w:r w:rsidRPr="00E97DAC">
              <w:rPr>
                <w:b/>
                <w:sz w:val="22"/>
                <w:szCs w:val="22"/>
              </w:rPr>
              <w:t>As at</w:t>
            </w:r>
          </w:p>
          <w:p w:rsidR="0012447E" w:rsidRPr="00E97DAC" w:rsidRDefault="0012447E" w:rsidP="007C5606">
            <w:pPr>
              <w:pStyle w:val="BodyTextIndent2"/>
              <w:spacing w:after="0" w:line="240" w:lineRule="auto"/>
              <w:ind w:left="0"/>
              <w:jc w:val="center"/>
              <w:rPr>
                <w:b/>
                <w:sz w:val="22"/>
                <w:szCs w:val="22"/>
              </w:rPr>
            </w:pPr>
            <w:r w:rsidRPr="00E97DAC">
              <w:rPr>
                <w:b/>
                <w:sz w:val="22"/>
                <w:szCs w:val="22"/>
              </w:rPr>
              <w:t xml:space="preserve"> 31 January 2012</w:t>
            </w:r>
          </w:p>
        </w:tc>
        <w:tc>
          <w:tcPr>
            <w:tcW w:w="236" w:type="dxa"/>
          </w:tcPr>
          <w:p w:rsidR="0012447E" w:rsidRPr="00E97DAC" w:rsidRDefault="0012447E" w:rsidP="007C5606">
            <w:pPr>
              <w:pStyle w:val="BodyTextIndent"/>
              <w:ind w:left="0"/>
              <w:jc w:val="center"/>
              <w:rPr>
                <w:b/>
                <w:sz w:val="22"/>
                <w:szCs w:val="22"/>
              </w:rPr>
            </w:pPr>
          </w:p>
        </w:tc>
        <w:tc>
          <w:tcPr>
            <w:tcW w:w="2298" w:type="dxa"/>
          </w:tcPr>
          <w:p w:rsidR="0012447E" w:rsidRPr="00E97DAC" w:rsidRDefault="0012447E" w:rsidP="007C5606">
            <w:pPr>
              <w:pStyle w:val="BodyTextIndent"/>
              <w:ind w:left="0"/>
              <w:jc w:val="center"/>
              <w:rPr>
                <w:b/>
                <w:sz w:val="22"/>
                <w:szCs w:val="22"/>
              </w:rPr>
            </w:pPr>
            <w:r w:rsidRPr="00E97DAC">
              <w:rPr>
                <w:b/>
                <w:sz w:val="22"/>
                <w:szCs w:val="22"/>
              </w:rPr>
              <w:t>As at</w:t>
            </w:r>
          </w:p>
          <w:p w:rsidR="0012447E" w:rsidRPr="00E97DAC" w:rsidRDefault="0012447E" w:rsidP="007C5606">
            <w:pPr>
              <w:pStyle w:val="BodyTextIndent"/>
              <w:ind w:left="0"/>
              <w:jc w:val="center"/>
              <w:rPr>
                <w:b/>
                <w:sz w:val="22"/>
                <w:szCs w:val="22"/>
              </w:rPr>
            </w:pPr>
            <w:r w:rsidRPr="00E97DAC">
              <w:rPr>
                <w:b/>
                <w:sz w:val="22"/>
                <w:szCs w:val="22"/>
              </w:rPr>
              <w:t>31 January 2011</w:t>
            </w:r>
          </w:p>
        </w:tc>
      </w:tr>
      <w:tr w:rsidR="0012447E" w:rsidRPr="007C5606" w:rsidTr="007C5606">
        <w:tc>
          <w:tcPr>
            <w:tcW w:w="3836" w:type="dxa"/>
          </w:tcPr>
          <w:p w:rsidR="0012447E" w:rsidRPr="00E97DAC" w:rsidRDefault="0012447E" w:rsidP="007C5606">
            <w:pPr>
              <w:pStyle w:val="BodyTextIndent"/>
              <w:ind w:left="0"/>
              <w:jc w:val="both"/>
              <w:rPr>
                <w:sz w:val="22"/>
                <w:szCs w:val="22"/>
              </w:rPr>
            </w:pPr>
          </w:p>
        </w:tc>
        <w:tc>
          <w:tcPr>
            <w:tcW w:w="2283" w:type="dxa"/>
          </w:tcPr>
          <w:p w:rsidR="0012447E" w:rsidRPr="00E97DAC" w:rsidRDefault="0012447E" w:rsidP="007C5606">
            <w:pPr>
              <w:pStyle w:val="BodyTextIndent"/>
              <w:ind w:left="0"/>
              <w:jc w:val="center"/>
              <w:rPr>
                <w:b/>
                <w:sz w:val="22"/>
                <w:szCs w:val="22"/>
              </w:rPr>
            </w:pPr>
            <w:r w:rsidRPr="00E97DAC">
              <w:rPr>
                <w:b/>
                <w:sz w:val="22"/>
                <w:szCs w:val="22"/>
              </w:rPr>
              <w:t>RM’000</w:t>
            </w:r>
          </w:p>
        </w:tc>
        <w:tc>
          <w:tcPr>
            <w:tcW w:w="236" w:type="dxa"/>
          </w:tcPr>
          <w:p w:rsidR="0012447E" w:rsidRPr="00E97DAC" w:rsidRDefault="0012447E" w:rsidP="007C5606">
            <w:pPr>
              <w:pStyle w:val="BodyTextIndent"/>
              <w:ind w:left="0"/>
              <w:jc w:val="center"/>
              <w:rPr>
                <w:b/>
                <w:sz w:val="22"/>
                <w:szCs w:val="22"/>
              </w:rPr>
            </w:pPr>
          </w:p>
        </w:tc>
        <w:tc>
          <w:tcPr>
            <w:tcW w:w="2298" w:type="dxa"/>
          </w:tcPr>
          <w:p w:rsidR="0012447E" w:rsidRPr="00E97DAC" w:rsidRDefault="0012447E" w:rsidP="007C5606">
            <w:pPr>
              <w:pStyle w:val="BodyTextIndent"/>
              <w:ind w:left="0"/>
              <w:jc w:val="center"/>
              <w:rPr>
                <w:b/>
                <w:sz w:val="22"/>
                <w:szCs w:val="22"/>
              </w:rPr>
            </w:pPr>
            <w:r w:rsidRPr="00E97DAC">
              <w:rPr>
                <w:b/>
                <w:sz w:val="22"/>
                <w:szCs w:val="22"/>
              </w:rPr>
              <w:t>RM’000</w:t>
            </w:r>
          </w:p>
        </w:tc>
      </w:tr>
      <w:tr w:rsidR="0012447E" w:rsidRPr="007C5606" w:rsidTr="007C5606">
        <w:tc>
          <w:tcPr>
            <w:tcW w:w="3836" w:type="dxa"/>
          </w:tcPr>
          <w:p w:rsidR="0012447E" w:rsidRPr="00E97DAC" w:rsidRDefault="0012447E" w:rsidP="007C5606">
            <w:pPr>
              <w:pStyle w:val="BodyTextIndent"/>
              <w:ind w:left="0"/>
              <w:jc w:val="both"/>
              <w:rPr>
                <w:sz w:val="22"/>
                <w:szCs w:val="22"/>
              </w:rPr>
            </w:pPr>
            <w:r w:rsidRPr="00E97DAC">
              <w:rPr>
                <w:sz w:val="22"/>
                <w:szCs w:val="22"/>
              </w:rPr>
              <w:t>Accumulated losses of the Group and its subsidiaries:</w:t>
            </w:r>
          </w:p>
        </w:tc>
        <w:tc>
          <w:tcPr>
            <w:tcW w:w="2283" w:type="dxa"/>
          </w:tcPr>
          <w:p w:rsidR="0012447E" w:rsidRPr="00E97DAC" w:rsidRDefault="0012447E" w:rsidP="007C5606">
            <w:pPr>
              <w:pStyle w:val="BodyTextIndent"/>
              <w:ind w:left="0"/>
              <w:jc w:val="center"/>
              <w:rPr>
                <w:sz w:val="22"/>
                <w:szCs w:val="22"/>
              </w:rPr>
            </w:pPr>
          </w:p>
        </w:tc>
        <w:tc>
          <w:tcPr>
            <w:tcW w:w="236" w:type="dxa"/>
          </w:tcPr>
          <w:p w:rsidR="0012447E" w:rsidRPr="00E97DAC" w:rsidRDefault="0012447E" w:rsidP="007C5606">
            <w:pPr>
              <w:pStyle w:val="BodyTextIndent"/>
              <w:ind w:left="0"/>
              <w:jc w:val="center"/>
              <w:rPr>
                <w:sz w:val="22"/>
                <w:szCs w:val="22"/>
              </w:rPr>
            </w:pPr>
          </w:p>
        </w:tc>
        <w:tc>
          <w:tcPr>
            <w:tcW w:w="2298" w:type="dxa"/>
          </w:tcPr>
          <w:p w:rsidR="0012447E" w:rsidRPr="00E97DAC" w:rsidRDefault="0012447E" w:rsidP="007C5606">
            <w:pPr>
              <w:pStyle w:val="BodyTextIndent"/>
              <w:ind w:left="0"/>
              <w:jc w:val="center"/>
              <w:rPr>
                <w:sz w:val="22"/>
                <w:szCs w:val="22"/>
              </w:rPr>
            </w:pPr>
          </w:p>
        </w:tc>
      </w:tr>
      <w:tr w:rsidR="0012447E" w:rsidRPr="007C5606" w:rsidTr="007C5606">
        <w:tc>
          <w:tcPr>
            <w:tcW w:w="3836" w:type="dxa"/>
          </w:tcPr>
          <w:p w:rsidR="0012447E" w:rsidRPr="00E97DAC" w:rsidRDefault="0012447E" w:rsidP="007C5606">
            <w:pPr>
              <w:pStyle w:val="BodyTextIndent"/>
              <w:ind w:left="0"/>
              <w:jc w:val="both"/>
              <w:rPr>
                <w:sz w:val="22"/>
                <w:szCs w:val="22"/>
              </w:rPr>
            </w:pPr>
            <w:r w:rsidRPr="00E97DAC">
              <w:rPr>
                <w:sz w:val="22"/>
                <w:szCs w:val="22"/>
              </w:rPr>
              <w:t xml:space="preserve">- </w:t>
            </w:r>
            <w:proofErr w:type="spellStart"/>
            <w:r w:rsidRPr="00E97DAC">
              <w:rPr>
                <w:sz w:val="22"/>
                <w:szCs w:val="22"/>
              </w:rPr>
              <w:t>Realised</w:t>
            </w:r>
            <w:proofErr w:type="spellEnd"/>
          </w:p>
        </w:tc>
        <w:tc>
          <w:tcPr>
            <w:tcW w:w="2283" w:type="dxa"/>
          </w:tcPr>
          <w:p w:rsidR="0012447E" w:rsidRPr="00E97DAC" w:rsidRDefault="00244218" w:rsidP="007C5606">
            <w:pPr>
              <w:pStyle w:val="BodyTextIndent"/>
              <w:ind w:left="0"/>
              <w:jc w:val="center"/>
              <w:rPr>
                <w:sz w:val="22"/>
                <w:szCs w:val="22"/>
              </w:rPr>
            </w:pPr>
            <w:r>
              <w:rPr>
                <w:sz w:val="22"/>
                <w:szCs w:val="22"/>
              </w:rPr>
              <w:t>(232,811</w:t>
            </w:r>
            <w:r w:rsidR="0012447E" w:rsidRPr="00E97DAC">
              <w:rPr>
                <w:sz w:val="22"/>
                <w:szCs w:val="22"/>
              </w:rPr>
              <w:t>)</w:t>
            </w:r>
          </w:p>
        </w:tc>
        <w:tc>
          <w:tcPr>
            <w:tcW w:w="236" w:type="dxa"/>
          </w:tcPr>
          <w:p w:rsidR="0012447E" w:rsidRPr="00E97DAC" w:rsidRDefault="0012447E" w:rsidP="007C5606">
            <w:pPr>
              <w:pStyle w:val="BodyTextIndent"/>
              <w:ind w:left="0"/>
              <w:jc w:val="center"/>
              <w:rPr>
                <w:sz w:val="22"/>
                <w:szCs w:val="22"/>
              </w:rPr>
            </w:pPr>
          </w:p>
        </w:tc>
        <w:tc>
          <w:tcPr>
            <w:tcW w:w="2298" w:type="dxa"/>
          </w:tcPr>
          <w:p w:rsidR="0012447E" w:rsidRPr="00E97DAC" w:rsidRDefault="0012447E" w:rsidP="007C5606">
            <w:pPr>
              <w:pStyle w:val="BodyTextIndent"/>
              <w:ind w:left="0"/>
              <w:jc w:val="center"/>
              <w:rPr>
                <w:sz w:val="22"/>
                <w:szCs w:val="22"/>
              </w:rPr>
            </w:pPr>
            <w:r w:rsidRPr="00E97DAC">
              <w:rPr>
                <w:sz w:val="22"/>
                <w:szCs w:val="22"/>
              </w:rPr>
              <w:t>(270,514)</w:t>
            </w:r>
          </w:p>
        </w:tc>
      </w:tr>
      <w:tr w:rsidR="0012447E" w:rsidRPr="007C5606" w:rsidTr="007C5606">
        <w:tc>
          <w:tcPr>
            <w:tcW w:w="3836" w:type="dxa"/>
          </w:tcPr>
          <w:p w:rsidR="0012447E" w:rsidRPr="00E97DAC" w:rsidRDefault="0012447E" w:rsidP="007C5606">
            <w:pPr>
              <w:pStyle w:val="BodyTextIndent"/>
              <w:ind w:left="0"/>
              <w:jc w:val="both"/>
              <w:rPr>
                <w:sz w:val="22"/>
                <w:szCs w:val="22"/>
              </w:rPr>
            </w:pPr>
            <w:r w:rsidRPr="00E97DAC">
              <w:rPr>
                <w:sz w:val="22"/>
                <w:szCs w:val="22"/>
              </w:rPr>
              <w:t xml:space="preserve">- </w:t>
            </w:r>
            <w:proofErr w:type="spellStart"/>
            <w:r w:rsidRPr="00E97DAC">
              <w:rPr>
                <w:sz w:val="22"/>
                <w:szCs w:val="22"/>
              </w:rPr>
              <w:t>Unrealised</w:t>
            </w:r>
            <w:proofErr w:type="spellEnd"/>
          </w:p>
        </w:tc>
        <w:tc>
          <w:tcPr>
            <w:tcW w:w="2283" w:type="dxa"/>
          </w:tcPr>
          <w:p w:rsidR="0012447E" w:rsidRPr="00E97DAC" w:rsidRDefault="0012447E" w:rsidP="007C5606">
            <w:pPr>
              <w:pStyle w:val="BodyTextIndent"/>
              <w:ind w:left="0"/>
              <w:jc w:val="center"/>
              <w:rPr>
                <w:sz w:val="22"/>
                <w:szCs w:val="22"/>
              </w:rPr>
            </w:pPr>
            <w:r>
              <w:rPr>
                <w:sz w:val="22"/>
                <w:szCs w:val="22"/>
              </w:rPr>
              <w:t>(57</w:t>
            </w:r>
            <w:r w:rsidRPr="00E97DAC">
              <w:rPr>
                <w:sz w:val="22"/>
                <w:szCs w:val="22"/>
              </w:rPr>
              <w:t>)</w:t>
            </w:r>
          </w:p>
        </w:tc>
        <w:tc>
          <w:tcPr>
            <w:tcW w:w="236" w:type="dxa"/>
          </w:tcPr>
          <w:p w:rsidR="0012447E" w:rsidRPr="00E97DAC" w:rsidRDefault="0012447E" w:rsidP="007C5606">
            <w:pPr>
              <w:pStyle w:val="BodyTextIndent"/>
              <w:ind w:left="0"/>
              <w:jc w:val="center"/>
              <w:rPr>
                <w:sz w:val="22"/>
                <w:szCs w:val="22"/>
              </w:rPr>
            </w:pPr>
          </w:p>
        </w:tc>
        <w:tc>
          <w:tcPr>
            <w:tcW w:w="2298" w:type="dxa"/>
          </w:tcPr>
          <w:p w:rsidR="0012447E" w:rsidRPr="00E97DAC" w:rsidRDefault="0012447E" w:rsidP="007C5606">
            <w:pPr>
              <w:pStyle w:val="BodyTextIndent"/>
              <w:ind w:left="0"/>
              <w:jc w:val="center"/>
              <w:rPr>
                <w:sz w:val="22"/>
                <w:szCs w:val="22"/>
              </w:rPr>
            </w:pPr>
            <w:r w:rsidRPr="00E97DAC">
              <w:rPr>
                <w:sz w:val="22"/>
                <w:szCs w:val="22"/>
              </w:rPr>
              <w:t>846</w:t>
            </w:r>
          </w:p>
        </w:tc>
      </w:tr>
      <w:tr w:rsidR="0012447E" w:rsidRPr="007C5606" w:rsidTr="007C5606">
        <w:tc>
          <w:tcPr>
            <w:tcW w:w="3836" w:type="dxa"/>
          </w:tcPr>
          <w:p w:rsidR="0012447E" w:rsidRPr="00E97DAC" w:rsidRDefault="0012447E" w:rsidP="007C5606">
            <w:pPr>
              <w:pStyle w:val="BodyTextIndent"/>
              <w:ind w:left="0"/>
              <w:jc w:val="both"/>
              <w:rPr>
                <w:sz w:val="22"/>
                <w:szCs w:val="22"/>
              </w:rPr>
            </w:pPr>
            <w:r w:rsidRPr="00E97DAC">
              <w:rPr>
                <w:sz w:val="22"/>
                <w:szCs w:val="22"/>
              </w:rPr>
              <w:t>Associated companies:</w:t>
            </w:r>
          </w:p>
        </w:tc>
        <w:tc>
          <w:tcPr>
            <w:tcW w:w="2283" w:type="dxa"/>
          </w:tcPr>
          <w:p w:rsidR="0012447E" w:rsidRPr="00E97DAC" w:rsidRDefault="0012447E" w:rsidP="007C5606">
            <w:pPr>
              <w:pStyle w:val="BodyTextIndent"/>
              <w:ind w:left="0"/>
              <w:jc w:val="center"/>
              <w:rPr>
                <w:sz w:val="22"/>
                <w:szCs w:val="22"/>
              </w:rPr>
            </w:pPr>
          </w:p>
        </w:tc>
        <w:tc>
          <w:tcPr>
            <w:tcW w:w="236" w:type="dxa"/>
          </w:tcPr>
          <w:p w:rsidR="0012447E" w:rsidRPr="00E97DAC" w:rsidRDefault="0012447E" w:rsidP="007C5606">
            <w:pPr>
              <w:pStyle w:val="BodyTextIndent"/>
              <w:ind w:left="0"/>
              <w:jc w:val="center"/>
              <w:rPr>
                <w:sz w:val="22"/>
                <w:szCs w:val="22"/>
              </w:rPr>
            </w:pPr>
          </w:p>
        </w:tc>
        <w:tc>
          <w:tcPr>
            <w:tcW w:w="2298" w:type="dxa"/>
          </w:tcPr>
          <w:p w:rsidR="0012447E" w:rsidRPr="00E97DAC" w:rsidRDefault="0012447E" w:rsidP="007C5606">
            <w:pPr>
              <w:pStyle w:val="BodyTextIndent"/>
              <w:ind w:left="0"/>
              <w:jc w:val="center"/>
              <w:rPr>
                <w:sz w:val="22"/>
                <w:szCs w:val="22"/>
              </w:rPr>
            </w:pPr>
          </w:p>
        </w:tc>
      </w:tr>
      <w:tr w:rsidR="0012447E" w:rsidRPr="007C5606" w:rsidTr="007C5606">
        <w:tc>
          <w:tcPr>
            <w:tcW w:w="3836" w:type="dxa"/>
          </w:tcPr>
          <w:p w:rsidR="0012447E" w:rsidRPr="00E97DAC" w:rsidRDefault="0012447E" w:rsidP="007C5606">
            <w:pPr>
              <w:pStyle w:val="BodyTextIndent"/>
              <w:ind w:left="0"/>
              <w:jc w:val="both"/>
              <w:rPr>
                <w:sz w:val="22"/>
                <w:szCs w:val="22"/>
              </w:rPr>
            </w:pPr>
            <w:r w:rsidRPr="00E97DAC">
              <w:rPr>
                <w:sz w:val="22"/>
                <w:szCs w:val="22"/>
              </w:rPr>
              <w:t xml:space="preserve">- </w:t>
            </w:r>
            <w:proofErr w:type="spellStart"/>
            <w:r w:rsidRPr="00E97DAC">
              <w:rPr>
                <w:sz w:val="22"/>
                <w:szCs w:val="22"/>
              </w:rPr>
              <w:t>Realised</w:t>
            </w:r>
            <w:proofErr w:type="spellEnd"/>
          </w:p>
        </w:tc>
        <w:tc>
          <w:tcPr>
            <w:tcW w:w="2283" w:type="dxa"/>
          </w:tcPr>
          <w:p w:rsidR="0012447E" w:rsidRPr="00E97DAC" w:rsidRDefault="0012447E" w:rsidP="007C5606">
            <w:pPr>
              <w:pStyle w:val="BodyTextIndent"/>
              <w:ind w:left="0"/>
              <w:jc w:val="center"/>
              <w:rPr>
                <w:sz w:val="22"/>
                <w:szCs w:val="22"/>
              </w:rPr>
            </w:pPr>
            <w:r>
              <w:rPr>
                <w:sz w:val="22"/>
                <w:szCs w:val="22"/>
              </w:rPr>
              <w:t>(185,713</w:t>
            </w:r>
            <w:r w:rsidRPr="00E97DAC">
              <w:rPr>
                <w:sz w:val="22"/>
                <w:szCs w:val="22"/>
              </w:rPr>
              <w:t>)</w:t>
            </w:r>
          </w:p>
        </w:tc>
        <w:tc>
          <w:tcPr>
            <w:tcW w:w="236" w:type="dxa"/>
          </w:tcPr>
          <w:p w:rsidR="0012447E" w:rsidRPr="00E97DAC" w:rsidRDefault="0012447E" w:rsidP="007C5606">
            <w:pPr>
              <w:pStyle w:val="BodyTextIndent"/>
              <w:ind w:left="0"/>
              <w:jc w:val="center"/>
              <w:rPr>
                <w:sz w:val="22"/>
                <w:szCs w:val="22"/>
              </w:rPr>
            </w:pPr>
          </w:p>
        </w:tc>
        <w:tc>
          <w:tcPr>
            <w:tcW w:w="2298" w:type="dxa"/>
          </w:tcPr>
          <w:p w:rsidR="0012447E" w:rsidRPr="00E97DAC" w:rsidRDefault="0012447E" w:rsidP="007C5606">
            <w:pPr>
              <w:pStyle w:val="BodyTextIndent"/>
              <w:ind w:left="0"/>
              <w:jc w:val="center"/>
              <w:rPr>
                <w:sz w:val="22"/>
                <w:szCs w:val="22"/>
              </w:rPr>
            </w:pPr>
            <w:r w:rsidRPr="00E97DAC">
              <w:rPr>
                <w:sz w:val="22"/>
                <w:szCs w:val="22"/>
              </w:rPr>
              <w:t>(179,181)</w:t>
            </w:r>
          </w:p>
        </w:tc>
      </w:tr>
      <w:tr w:rsidR="0012447E" w:rsidRPr="007C5606" w:rsidTr="007C5606">
        <w:tc>
          <w:tcPr>
            <w:tcW w:w="3836" w:type="dxa"/>
          </w:tcPr>
          <w:p w:rsidR="0012447E" w:rsidRPr="00E97DAC" w:rsidRDefault="0012447E" w:rsidP="007C5606">
            <w:pPr>
              <w:pStyle w:val="BodyTextIndent"/>
              <w:ind w:left="0"/>
              <w:jc w:val="both"/>
              <w:rPr>
                <w:sz w:val="22"/>
                <w:szCs w:val="22"/>
              </w:rPr>
            </w:pPr>
            <w:r w:rsidRPr="00E97DAC">
              <w:rPr>
                <w:sz w:val="22"/>
                <w:szCs w:val="22"/>
              </w:rPr>
              <w:t xml:space="preserve">- </w:t>
            </w:r>
            <w:proofErr w:type="spellStart"/>
            <w:r w:rsidRPr="00E97DAC">
              <w:rPr>
                <w:sz w:val="22"/>
                <w:szCs w:val="22"/>
              </w:rPr>
              <w:t>Unrealised</w:t>
            </w:r>
            <w:proofErr w:type="spellEnd"/>
          </w:p>
        </w:tc>
        <w:tc>
          <w:tcPr>
            <w:tcW w:w="2283" w:type="dxa"/>
          </w:tcPr>
          <w:p w:rsidR="0012447E" w:rsidRPr="00E97DAC" w:rsidRDefault="0012447E" w:rsidP="007C5606">
            <w:pPr>
              <w:pStyle w:val="BodyTextIndent"/>
              <w:ind w:left="0"/>
              <w:jc w:val="center"/>
              <w:rPr>
                <w:sz w:val="22"/>
                <w:szCs w:val="22"/>
              </w:rPr>
            </w:pPr>
            <w:r>
              <w:rPr>
                <w:sz w:val="22"/>
                <w:szCs w:val="22"/>
              </w:rPr>
              <w:t>(9,126</w:t>
            </w:r>
            <w:r w:rsidRPr="00E97DAC">
              <w:rPr>
                <w:sz w:val="22"/>
                <w:szCs w:val="22"/>
              </w:rPr>
              <w:t>)</w:t>
            </w:r>
          </w:p>
        </w:tc>
        <w:tc>
          <w:tcPr>
            <w:tcW w:w="236" w:type="dxa"/>
          </w:tcPr>
          <w:p w:rsidR="0012447E" w:rsidRPr="00E97DAC" w:rsidRDefault="0012447E" w:rsidP="007C5606">
            <w:pPr>
              <w:pStyle w:val="BodyTextIndent"/>
              <w:ind w:left="0"/>
              <w:jc w:val="center"/>
              <w:rPr>
                <w:sz w:val="22"/>
                <w:szCs w:val="22"/>
              </w:rPr>
            </w:pPr>
          </w:p>
        </w:tc>
        <w:tc>
          <w:tcPr>
            <w:tcW w:w="2298" w:type="dxa"/>
          </w:tcPr>
          <w:p w:rsidR="0012447E" w:rsidRPr="00E97DAC" w:rsidRDefault="0012447E" w:rsidP="007C5606">
            <w:pPr>
              <w:pStyle w:val="BodyTextIndent"/>
              <w:ind w:left="0"/>
              <w:jc w:val="center"/>
              <w:rPr>
                <w:sz w:val="22"/>
                <w:szCs w:val="22"/>
              </w:rPr>
            </w:pPr>
            <w:r w:rsidRPr="00E97DAC">
              <w:rPr>
                <w:sz w:val="22"/>
                <w:szCs w:val="22"/>
              </w:rPr>
              <w:t>(9,399)</w:t>
            </w:r>
          </w:p>
        </w:tc>
      </w:tr>
      <w:tr w:rsidR="0012447E" w:rsidRPr="007C5606" w:rsidTr="007C5606">
        <w:tc>
          <w:tcPr>
            <w:tcW w:w="3836" w:type="dxa"/>
          </w:tcPr>
          <w:p w:rsidR="0012447E" w:rsidRPr="00E97DAC" w:rsidRDefault="0012447E" w:rsidP="007C5606">
            <w:pPr>
              <w:pStyle w:val="BodyTextIndent"/>
              <w:ind w:left="0"/>
              <w:jc w:val="both"/>
              <w:rPr>
                <w:sz w:val="22"/>
                <w:szCs w:val="22"/>
              </w:rPr>
            </w:pPr>
            <w:r w:rsidRPr="00E97DAC">
              <w:rPr>
                <w:sz w:val="22"/>
                <w:szCs w:val="22"/>
              </w:rPr>
              <w:t xml:space="preserve">Total group accumulated losses </w:t>
            </w:r>
          </w:p>
        </w:tc>
        <w:tc>
          <w:tcPr>
            <w:tcW w:w="2283" w:type="dxa"/>
            <w:tcBorders>
              <w:top w:val="single" w:sz="4" w:space="0" w:color="auto"/>
              <w:bottom w:val="single" w:sz="4" w:space="0" w:color="auto"/>
            </w:tcBorders>
            <w:vAlign w:val="center"/>
          </w:tcPr>
          <w:p w:rsidR="0012447E" w:rsidRPr="00E97DAC" w:rsidRDefault="00244218" w:rsidP="007C5606">
            <w:pPr>
              <w:pStyle w:val="BodyTextIndent"/>
              <w:ind w:left="0"/>
              <w:jc w:val="center"/>
              <w:rPr>
                <w:sz w:val="22"/>
                <w:szCs w:val="22"/>
                <w:highlight w:val="yellow"/>
              </w:rPr>
            </w:pPr>
            <w:r>
              <w:rPr>
                <w:sz w:val="22"/>
                <w:szCs w:val="22"/>
              </w:rPr>
              <w:t>(427,707</w:t>
            </w:r>
            <w:r w:rsidR="0012447E" w:rsidRPr="00E97DAC">
              <w:rPr>
                <w:sz w:val="22"/>
                <w:szCs w:val="22"/>
              </w:rPr>
              <w:t>)</w:t>
            </w:r>
          </w:p>
        </w:tc>
        <w:tc>
          <w:tcPr>
            <w:tcW w:w="236" w:type="dxa"/>
            <w:vAlign w:val="center"/>
          </w:tcPr>
          <w:p w:rsidR="0012447E" w:rsidRPr="00E97DAC" w:rsidRDefault="0012447E" w:rsidP="007C5606">
            <w:pPr>
              <w:pStyle w:val="BodyTextIndent"/>
              <w:ind w:left="0"/>
              <w:jc w:val="center"/>
              <w:rPr>
                <w:sz w:val="22"/>
                <w:szCs w:val="22"/>
              </w:rPr>
            </w:pPr>
          </w:p>
        </w:tc>
        <w:tc>
          <w:tcPr>
            <w:tcW w:w="2298" w:type="dxa"/>
            <w:tcBorders>
              <w:top w:val="single" w:sz="4" w:space="0" w:color="auto"/>
              <w:bottom w:val="single" w:sz="4" w:space="0" w:color="auto"/>
            </w:tcBorders>
            <w:vAlign w:val="center"/>
          </w:tcPr>
          <w:p w:rsidR="0012447E" w:rsidRPr="00E97DAC" w:rsidRDefault="0012447E" w:rsidP="007C5606">
            <w:pPr>
              <w:pStyle w:val="BodyTextIndent"/>
              <w:ind w:left="0"/>
              <w:jc w:val="center"/>
              <w:rPr>
                <w:sz w:val="22"/>
                <w:szCs w:val="22"/>
              </w:rPr>
            </w:pPr>
            <w:r w:rsidRPr="00E97DAC">
              <w:rPr>
                <w:sz w:val="22"/>
                <w:szCs w:val="22"/>
              </w:rPr>
              <w:t>(458,248)</w:t>
            </w:r>
          </w:p>
        </w:tc>
      </w:tr>
    </w:tbl>
    <w:p w:rsidR="0012447E" w:rsidRDefault="0012447E" w:rsidP="00AD0069">
      <w:pPr>
        <w:pStyle w:val="BodyTextIndent"/>
        <w:ind w:left="0"/>
        <w:jc w:val="both"/>
        <w:rPr>
          <w:b/>
          <w:sz w:val="22"/>
          <w:szCs w:val="22"/>
        </w:rPr>
      </w:pPr>
    </w:p>
    <w:p w:rsidR="0012447E" w:rsidRDefault="0012447E" w:rsidP="00AD0069">
      <w:pPr>
        <w:pStyle w:val="BodyTextIndent"/>
        <w:ind w:left="0"/>
        <w:jc w:val="both"/>
        <w:rPr>
          <w:b/>
          <w:sz w:val="22"/>
          <w:szCs w:val="22"/>
        </w:rPr>
      </w:pPr>
    </w:p>
    <w:p w:rsidR="0012447E" w:rsidRDefault="0012447E" w:rsidP="00AD0069">
      <w:pPr>
        <w:pStyle w:val="BodyTextIndent"/>
        <w:ind w:left="0"/>
        <w:jc w:val="both"/>
        <w:rPr>
          <w:b/>
          <w:sz w:val="22"/>
          <w:szCs w:val="22"/>
        </w:rPr>
      </w:pPr>
    </w:p>
    <w:p w:rsidR="0012447E" w:rsidRDefault="0012447E" w:rsidP="009F6330">
      <w:pPr>
        <w:pStyle w:val="BodyTextIndent"/>
        <w:ind w:left="0"/>
        <w:jc w:val="both"/>
        <w:rPr>
          <w:b/>
          <w:sz w:val="22"/>
          <w:szCs w:val="22"/>
        </w:rPr>
      </w:pPr>
      <w:r>
        <w:rPr>
          <w:b/>
          <w:sz w:val="22"/>
          <w:szCs w:val="22"/>
        </w:rPr>
        <w:t>B13.</w:t>
      </w:r>
      <w:r>
        <w:rPr>
          <w:b/>
          <w:sz w:val="22"/>
          <w:szCs w:val="22"/>
        </w:rPr>
        <w:tab/>
      </w:r>
      <w:r w:rsidRPr="00743520">
        <w:rPr>
          <w:b/>
          <w:sz w:val="22"/>
          <w:szCs w:val="22"/>
        </w:rPr>
        <w:t xml:space="preserve">Audit Report </w:t>
      </w:r>
    </w:p>
    <w:p w:rsidR="0012447E" w:rsidRPr="00743520" w:rsidRDefault="0012447E" w:rsidP="009F6330">
      <w:pPr>
        <w:pStyle w:val="BodyTextIndent"/>
        <w:ind w:left="0"/>
        <w:jc w:val="both"/>
        <w:rPr>
          <w:b/>
          <w:sz w:val="22"/>
          <w:szCs w:val="22"/>
        </w:rPr>
      </w:pPr>
    </w:p>
    <w:p w:rsidR="0012447E" w:rsidRPr="00743520" w:rsidRDefault="0012447E" w:rsidP="00AD0069">
      <w:pPr>
        <w:pStyle w:val="BodyTextIndent"/>
        <w:jc w:val="both"/>
        <w:rPr>
          <w:sz w:val="22"/>
          <w:szCs w:val="22"/>
        </w:rPr>
      </w:pPr>
      <w:r w:rsidRPr="00743520">
        <w:rPr>
          <w:sz w:val="22"/>
          <w:szCs w:val="22"/>
        </w:rPr>
        <w:t xml:space="preserve">The auditors’ report of the financial statements for the year ended </w:t>
      </w:r>
      <w:r>
        <w:rPr>
          <w:sz w:val="22"/>
          <w:szCs w:val="22"/>
        </w:rPr>
        <w:t>31 January</w:t>
      </w:r>
      <w:r w:rsidRPr="00743520">
        <w:rPr>
          <w:sz w:val="22"/>
          <w:szCs w:val="22"/>
        </w:rPr>
        <w:t xml:space="preserve"> 20</w:t>
      </w:r>
      <w:r>
        <w:rPr>
          <w:sz w:val="22"/>
          <w:szCs w:val="22"/>
        </w:rPr>
        <w:t>11</w:t>
      </w:r>
      <w:r w:rsidRPr="00743520">
        <w:rPr>
          <w:sz w:val="22"/>
          <w:szCs w:val="22"/>
        </w:rPr>
        <w:t xml:space="preserve"> was not subject to any qualification</w:t>
      </w:r>
      <w:r>
        <w:rPr>
          <w:sz w:val="22"/>
          <w:szCs w:val="22"/>
        </w:rPr>
        <w:t>.</w:t>
      </w:r>
    </w:p>
    <w:p w:rsidR="0012447E" w:rsidRDefault="0012447E" w:rsidP="00912AB8">
      <w:pPr>
        <w:pStyle w:val="BodyTextIndent"/>
        <w:ind w:left="0"/>
        <w:jc w:val="both"/>
        <w:rPr>
          <w:sz w:val="22"/>
          <w:szCs w:val="22"/>
        </w:rPr>
      </w:pPr>
    </w:p>
    <w:p w:rsidR="0012447E" w:rsidRDefault="0012447E" w:rsidP="00912AB8">
      <w:pPr>
        <w:pStyle w:val="BodyTextIndent"/>
        <w:ind w:left="0"/>
        <w:jc w:val="both"/>
        <w:rPr>
          <w:sz w:val="22"/>
          <w:szCs w:val="22"/>
        </w:rPr>
      </w:pPr>
    </w:p>
    <w:p w:rsidR="0012447E" w:rsidRDefault="0012447E" w:rsidP="00912AB8">
      <w:pPr>
        <w:pStyle w:val="BodyTextIndent"/>
        <w:ind w:left="0"/>
        <w:jc w:val="both"/>
        <w:rPr>
          <w:sz w:val="22"/>
          <w:szCs w:val="22"/>
        </w:rPr>
      </w:pPr>
    </w:p>
    <w:p w:rsidR="0012447E" w:rsidRDefault="0012447E" w:rsidP="00912AB8">
      <w:pPr>
        <w:pStyle w:val="BodyTextIndent"/>
        <w:ind w:left="0"/>
        <w:jc w:val="both"/>
        <w:rPr>
          <w:sz w:val="22"/>
          <w:szCs w:val="22"/>
        </w:rPr>
      </w:pPr>
    </w:p>
    <w:p w:rsidR="0012447E" w:rsidRPr="00743520" w:rsidRDefault="0012447E" w:rsidP="00674A22">
      <w:pPr>
        <w:pStyle w:val="BodyTextIndent2"/>
        <w:spacing w:after="0" w:line="240" w:lineRule="auto"/>
        <w:ind w:left="0"/>
        <w:jc w:val="both"/>
        <w:rPr>
          <w:b/>
          <w:bCs/>
          <w:sz w:val="22"/>
          <w:szCs w:val="22"/>
          <w:lang w:val="en-GB"/>
        </w:rPr>
      </w:pPr>
      <w:r w:rsidRPr="00743520">
        <w:rPr>
          <w:b/>
          <w:sz w:val="22"/>
          <w:szCs w:val="22"/>
          <w:lang w:val="en-GB"/>
        </w:rPr>
        <w:t>B1</w:t>
      </w:r>
      <w:r>
        <w:rPr>
          <w:b/>
          <w:sz w:val="22"/>
          <w:szCs w:val="22"/>
          <w:lang w:val="en-GB"/>
        </w:rPr>
        <w:t>4</w:t>
      </w:r>
      <w:r w:rsidRPr="00743520">
        <w:rPr>
          <w:b/>
          <w:sz w:val="22"/>
          <w:szCs w:val="22"/>
          <w:lang w:val="en-GB"/>
        </w:rPr>
        <w:t>.</w:t>
      </w:r>
      <w:r w:rsidRPr="00743520">
        <w:rPr>
          <w:b/>
          <w:sz w:val="22"/>
          <w:szCs w:val="22"/>
          <w:lang w:val="en-GB"/>
        </w:rPr>
        <w:tab/>
        <w:t>Authori</w:t>
      </w:r>
      <w:r>
        <w:rPr>
          <w:b/>
          <w:sz w:val="22"/>
          <w:szCs w:val="22"/>
          <w:lang w:val="en-GB"/>
        </w:rPr>
        <w:t>s</w:t>
      </w:r>
      <w:r w:rsidRPr="00743520">
        <w:rPr>
          <w:b/>
          <w:sz w:val="22"/>
          <w:szCs w:val="22"/>
          <w:lang w:val="en-GB"/>
        </w:rPr>
        <w:t>ation for Issue</w:t>
      </w:r>
    </w:p>
    <w:p w:rsidR="0012447E" w:rsidRPr="00743520" w:rsidRDefault="0012447E" w:rsidP="00674A22">
      <w:pPr>
        <w:pStyle w:val="BodyTextIndent"/>
        <w:ind w:left="0"/>
        <w:jc w:val="both"/>
        <w:rPr>
          <w:sz w:val="22"/>
          <w:szCs w:val="22"/>
        </w:rPr>
      </w:pPr>
    </w:p>
    <w:p w:rsidR="0012447E" w:rsidRPr="00040842" w:rsidRDefault="0012447E" w:rsidP="00674A22">
      <w:pPr>
        <w:pStyle w:val="BodyTextIndent"/>
        <w:jc w:val="both"/>
        <w:rPr>
          <w:sz w:val="22"/>
          <w:szCs w:val="22"/>
        </w:rPr>
      </w:pPr>
      <w:r w:rsidRPr="00743520">
        <w:rPr>
          <w:sz w:val="22"/>
          <w:szCs w:val="22"/>
        </w:rPr>
        <w:t xml:space="preserve">The interim financial </w:t>
      </w:r>
      <w:r w:rsidRPr="00535881">
        <w:rPr>
          <w:sz w:val="22"/>
          <w:szCs w:val="22"/>
        </w:rPr>
        <w:t xml:space="preserve">reports were </w:t>
      </w:r>
      <w:proofErr w:type="spellStart"/>
      <w:r w:rsidRPr="00535881">
        <w:rPr>
          <w:sz w:val="22"/>
          <w:szCs w:val="22"/>
        </w:rPr>
        <w:t>authorised</w:t>
      </w:r>
      <w:proofErr w:type="spellEnd"/>
      <w:r w:rsidRPr="00535881">
        <w:rPr>
          <w:sz w:val="22"/>
          <w:szCs w:val="22"/>
        </w:rPr>
        <w:t xml:space="preserve"> </w:t>
      </w:r>
      <w:r w:rsidRPr="00997313">
        <w:rPr>
          <w:sz w:val="22"/>
          <w:szCs w:val="22"/>
        </w:rPr>
        <w:t>for issue by the Board of Directors in accordance with a resolution of the Directors on</w:t>
      </w:r>
      <w:r w:rsidR="00A82A25">
        <w:rPr>
          <w:sz w:val="22"/>
          <w:szCs w:val="22"/>
        </w:rPr>
        <w:t xml:space="preserve"> </w:t>
      </w:r>
      <w:r w:rsidR="00244218">
        <w:rPr>
          <w:sz w:val="22"/>
          <w:szCs w:val="22"/>
        </w:rPr>
        <w:t xml:space="preserve">30 </w:t>
      </w:r>
      <w:r>
        <w:rPr>
          <w:sz w:val="22"/>
          <w:szCs w:val="22"/>
        </w:rPr>
        <w:t>March 2012.</w:t>
      </w:r>
    </w:p>
    <w:p w:rsidR="0012447E" w:rsidRDefault="0012447E" w:rsidP="00F81B26">
      <w:pPr>
        <w:pStyle w:val="BodyTextIndent"/>
        <w:ind w:left="0"/>
        <w:jc w:val="both"/>
        <w:rPr>
          <w:sz w:val="22"/>
          <w:szCs w:val="22"/>
        </w:rPr>
      </w:pPr>
    </w:p>
    <w:p w:rsidR="0012447E" w:rsidRDefault="0012447E" w:rsidP="00F81B26">
      <w:pPr>
        <w:pStyle w:val="BodyTextIndent"/>
        <w:ind w:left="0"/>
        <w:jc w:val="both"/>
        <w:rPr>
          <w:sz w:val="22"/>
          <w:szCs w:val="22"/>
        </w:rPr>
      </w:pPr>
    </w:p>
    <w:p w:rsidR="0012447E" w:rsidRDefault="0012447E" w:rsidP="00F81B26">
      <w:pPr>
        <w:pStyle w:val="BodyTextIndent"/>
        <w:ind w:left="0"/>
        <w:jc w:val="both"/>
        <w:rPr>
          <w:sz w:val="22"/>
          <w:szCs w:val="22"/>
        </w:rPr>
      </w:pPr>
    </w:p>
    <w:p w:rsidR="0012447E" w:rsidRDefault="0012447E" w:rsidP="00F81B26">
      <w:pPr>
        <w:pStyle w:val="BodyTextIndent"/>
        <w:ind w:left="0"/>
        <w:jc w:val="both"/>
        <w:rPr>
          <w:sz w:val="22"/>
          <w:szCs w:val="22"/>
        </w:rPr>
      </w:pPr>
    </w:p>
    <w:p w:rsidR="0012447E" w:rsidRDefault="0012447E" w:rsidP="00F81B26">
      <w:pPr>
        <w:pStyle w:val="BodyTextIndent"/>
        <w:ind w:left="0"/>
        <w:jc w:val="both"/>
        <w:rPr>
          <w:sz w:val="22"/>
          <w:szCs w:val="22"/>
        </w:rPr>
      </w:pPr>
    </w:p>
    <w:p w:rsidR="0012447E" w:rsidRDefault="0012447E" w:rsidP="00F81B26">
      <w:pPr>
        <w:pStyle w:val="BodyTextIndent"/>
        <w:ind w:left="0"/>
        <w:jc w:val="both"/>
        <w:rPr>
          <w:sz w:val="22"/>
          <w:szCs w:val="22"/>
        </w:rPr>
      </w:pPr>
    </w:p>
    <w:p w:rsidR="0012447E" w:rsidRDefault="0012447E" w:rsidP="00BD1D23">
      <w:pPr>
        <w:pStyle w:val="BodyTextIndent2"/>
        <w:spacing w:line="240" w:lineRule="auto"/>
        <w:ind w:left="0"/>
        <w:rPr>
          <w:sz w:val="22"/>
          <w:szCs w:val="22"/>
          <w:lang w:val="en-GB"/>
        </w:rPr>
      </w:pPr>
      <w:r w:rsidRPr="00743520">
        <w:rPr>
          <w:sz w:val="22"/>
          <w:szCs w:val="22"/>
          <w:lang w:val="en-GB"/>
        </w:rPr>
        <w:t>By order of the Board</w:t>
      </w:r>
    </w:p>
    <w:p w:rsidR="0012447E" w:rsidRDefault="0012447E" w:rsidP="00D0635F">
      <w:pPr>
        <w:pStyle w:val="BodyTextIndent2"/>
        <w:tabs>
          <w:tab w:val="left" w:pos="1227"/>
        </w:tabs>
        <w:spacing w:line="240" w:lineRule="auto"/>
        <w:ind w:left="900" w:hanging="900"/>
        <w:rPr>
          <w:sz w:val="22"/>
          <w:szCs w:val="22"/>
          <w:lang w:val="en-GB"/>
        </w:rPr>
      </w:pPr>
    </w:p>
    <w:p w:rsidR="0012447E" w:rsidRDefault="0012447E" w:rsidP="00D0635F">
      <w:pPr>
        <w:pStyle w:val="BodyTextIndent2"/>
        <w:tabs>
          <w:tab w:val="left" w:pos="1227"/>
        </w:tabs>
        <w:spacing w:line="240" w:lineRule="auto"/>
        <w:ind w:left="900" w:hanging="900"/>
        <w:rPr>
          <w:sz w:val="22"/>
          <w:szCs w:val="22"/>
          <w:lang w:val="en-GB"/>
        </w:rPr>
      </w:pPr>
    </w:p>
    <w:p w:rsidR="0012447E" w:rsidRDefault="0012447E" w:rsidP="00D0635F">
      <w:pPr>
        <w:pStyle w:val="BodyTextIndent2"/>
        <w:tabs>
          <w:tab w:val="left" w:pos="1227"/>
        </w:tabs>
        <w:spacing w:line="240" w:lineRule="auto"/>
        <w:ind w:left="900" w:hanging="900"/>
        <w:rPr>
          <w:sz w:val="22"/>
          <w:szCs w:val="22"/>
          <w:lang w:val="en-GB"/>
        </w:rPr>
      </w:pPr>
    </w:p>
    <w:p w:rsidR="0012447E" w:rsidRPr="00743520" w:rsidRDefault="0012447E" w:rsidP="00D0635F">
      <w:pPr>
        <w:pStyle w:val="BodyTextIndent2"/>
        <w:tabs>
          <w:tab w:val="left" w:pos="1227"/>
        </w:tabs>
        <w:spacing w:line="240" w:lineRule="auto"/>
        <w:ind w:left="900" w:hanging="900"/>
        <w:rPr>
          <w:sz w:val="22"/>
          <w:szCs w:val="22"/>
          <w:lang w:val="en-GB"/>
        </w:rPr>
      </w:pPr>
      <w:r>
        <w:rPr>
          <w:sz w:val="22"/>
          <w:szCs w:val="22"/>
          <w:lang w:val="en-GB"/>
        </w:rPr>
        <w:t xml:space="preserve">Raw Koon </w:t>
      </w:r>
      <w:proofErr w:type="spellStart"/>
      <w:r>
        <w:rPr>
          <w:sz w:val="22"/>
          <w:szCs w:val="22"/>
          <w:lang w:val="en-GB"/>
        </w:rPr>
        <w:t>Beng</w:t>
      </w:r>
      <w:proofErr w:type="spellEnd"/>
    </w:p>
    <w:p w:rsidR="0012447E" w:rsidRPr="00743520" w:rsidRDefault="0012447E" w:rsidP="00BD1D23">
      <w:pPr>
        <w:pStyle w:val="BodyTextIndent2"/>
        <w:spacing w:line="240" w:lineRule="auto"/>
        <w:ind w:left="900" w:hanging="900"/>
        <w:rPr>
          <w:sz w:val="22"/>
          <w:szCs w:val="22"/>
          <w:lang w:val="en-GB"/>
        </w:rPr>
      </w:pPr>
      <w:r w:rsidRPr="00743520">
        <w:rPr>
          <w:sz w:val="22"/>
          <w:szCs w:val="22"/>
          <w:lang w:val="en-GB"/>
        </w:rPr>
        <w:t>Company Secretary</w:t>
      </w:r>
    </w:p>
    <w:sectPr w:rsidR="0012447E" w:rsidRPr="00743520" w:rsidSect="009718CB">
      <w:headerReference w:type="default" r:id="rId7"/>
      <w:footerReference w:type="even" r:id="rId8"/>
      <w:footerReference w:type="default" r:id="rId9"/>
      <w:pgSz w:w="11909" w:h="16834" w:code="9"/>
      <w:pgMar w:top="1858" w:right="1440" w:bottom="1008" w:left="1440" w:header="562" w:footer="864"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C34" w:rsidRDefault="007E7C34">
      <w:r>
        <w:separator/>
      </w:r>
    </w:p>
  </w:endnote>
  <w:endnote w:type="continuationSeparator" w:id="0">
    <w:p w:rsidR="007E7C34" w:rsidRDefault="007E7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25" w:rsidRDefault="00A82A25" w:rsidP="00242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A25" w:rsidRDefault="00A82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25" w:rsidRDefault="00A82A25" w:rsidP="00242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37E3">
      <w:rPr>
        <w:rStyle w:val="PageNumber"/>
        <w:noProof/>
      </w:rPr>
      <w:t>13</w:t>
    </w:r>
    <w:r>
      <w:rPr>
        <w:rStyle w:val="PageNumber"/>
      </w:rPr>
      <w:fldChar w:fldCharType="end"/>
    </w:r>
  </w:p>
  <w:p w:rsidR="00A82A25" w:rsidRDefault="00A82A25" w:rsidP="00811A40">
    <w:pPr>
      <w:pStyle w:val="Footer"/>
      <w:tabs>
        <w:tab w:val="left" w:pos="3569"/>
        <w:tab w:val="center" w:pos="4514"/>
      </w:tabs>
      <w:rPr>
        <w:rStyle w:val="PageNumber"/>
      </w:rPr>
    </w:pPr>
    <w:r>
      <w:rPr>
        <w:rStyle w:val="PageNumber"/>
      </w:rPr>
      <w:t>`</w:t>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C34" w:rsidRDefault="007E7C34">
      <w:r>
        <w:separator/>
      </w:r>
    </w:p>
  </w:footnote>
  <w:footnote w:type="continuationSeparator" w:id="0">
    <w:p w:rsidR="007E7C34" w:rsidRDefault="007E7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25" w:rsidRDefault="00A82A25">
    <w:pPr>
      <w:pStyle w:val="Header"/>
      <w:rPr>
        <w:rFonts w:ascii="Arial" w:hAnsi="Arial" w:cs="Arial"/>
        <w:b/>
      </w:rPr>
    </w:pPr>
  </w:p>
  <w:p w:rsidR="00A82A25" w:rsidRPr="001517E4" w:rsidRDefault="00A82A25">
    <w:pPr>
      <w:pStyle w:val="Header"/>
      <w:rPr>
        <w:rFonts w:ascii="Arial" w:hAnsi="Arial" w:cs="Arial"/>
        <w:b/>
      </w:rPr>
    </w:pPr>
  </w:p>
  <w:p w:rsidR="00A82A25" w:rsidRPr="00304C19" w:rsidRDefault="00A82A25">
    <w:pPr>
      <w:pStyle w:val="Header"/>
      <w:rPr>
        <w:b/>
        <w:sz w:val="24"/>
        <w:szCs w:val="24"/>
      </w:rPr>
    </w:pPr>
    <w:r w:rsidRPr="00304C19">
      <w:rPr>
        <w:b/>
        <w:sz w:val="24"/>
        <w:szCs w:val="24"/>
      </w:rPr>
      <w:t>KUMPULAN EUROPLUS BERHAD (534368-A)</w:t>
    </w:r>
  </w:p>
  <w:p w:rsidR="00A82A25" w:rsidRPr="00304C19" w:rsidRDefault="00A82A25">
    <w:pPr>
      <w:pStyle w:val="Header"/>
      <w:rPr>
        <w:b/>
        <w:sz w:val="24"/>
        <w:szCs w:val="24"/>
      </w:rPr>
    </w:pPr>
    <w:r w:rsidRPr="00304C19">
      <w:rPr>
        <w:b/>
        <w:sz w:val="24"/>
        <w:szCs w:val="24"/>
      </w:rPr>
      <w:t xml:space="preserve">Interim financial report for the </w:t>
    </w:r>
    <w:r>
      <w:rPr>
        <w:b/>
        <w:sz w:val="24"/>
        <w:szCs w:val="24"/>
      </w:rPr>
      <w:t>fourth quarter ended 31 January 2012</w:t>
    </w:r>
  </w:p>
  <w:p w:rsidR="00A82A25" w:rsidRPr="00304C19" w:rsidRDefault="00A82A25">
    <w:pPr>
      <w:pStyle w:val="Header"/>
    </w:pPr>
    <w:r w:rsidRPr="00304C19">
      <w:t>(The figures have not been audited)</w:t>
    </w:r>
  </w:p>
  <w:p w:rsidR="00A82A25" w:rsidRPr="00F56D7B" w:rsidRDefault="00A82A25">
    <w:pPr>
      <w:pStyle w:val="Header"/>
      <w:rPr>
        <w:b/>
      </w:rPr>
    </w:pPr>
  </w:p>
  <w:p w:rsidR="00A82A25" w:rsidRPr="00F56D7B" w:rsidRDefault="00A82A25">
    <w:pPr>
      <w:pStyle w:val="Header"/>
      <w:rPr>
        <w:b/>
      </w:rPr>
    </w:pPr>
  </w:p>
  <w:p w:rsidR="00A82A25" w:rsidRPr="00304C19" w:rsidRDefault="00A82A25">
    <w:pPr>
      <w:pStyle w:val="Header"/>
      <w:rPr>
        <w:b/>
        <w:sz w:val="24"/>
        <w:szCs w:val="24"/>
      </w:rPr>
    </w:pPr>
    <w:r w:rsidRPr="00304C19">
      <w:rPr>
        <w:b/>
        <w:sz w:val="24"/>
        <w:szCs w:val="24"/>
      </w:rPr>
      <w:t>NOTES T</w:t>
    </w:r>
    <w:r>
      <w:rPr>
        <w:b/>
        <w:sz w:val="24"/>
        <w:szCs w:val="24"/>
      </w:rPr>
      <w:t>O CONDENSED FINANCIAL STATEMENTS</w:t>
    </w:r>
  </w:p>
  <w:p w:rsidR="00A82A25" w:rsidRPr="001517E4" w:rsidRDefault="00A82A25">
    <w:pPr>
      <w:pStyle w:val="Head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3EB"/>
    <w:multiLevelType w:val="hybridMultilevel"/>
    <w:tmpl w:val="96E44B24"/>
    <w:lvl w:ilvl="0" w:tplc="5CFEDA12">
      <w:start w:val="1"/>
      <w:numFmt w:val="lowerRoman"/>
      <w:lvlText w:val="(%1)"/>
      <w:lvlJc w:val="left"/>
      <w:pPr>
        <w:tabs>
          <w:tab w:val="num" w:pos="2149"/>
        </w:tabs>
        <w:ind w:left="2149" w:hanging="720"/>
      </w:pPr>
      <w:rPr>
        <w:rFonts w:cs="Times New Roman" w:hint="default"/>
      </w:rPr>
    </w:lvl>
    <w:lvl w:ilvl="1" w:tplc="04090019" w:tentative="1">
      <w:start w:val="1"/>
      <w:numFmt w:val="lowerLetter"/>
      <w:lvlText w:val="%2."/>
      <w:lvlJc w:val="left"/>
      <w:pPr>
        <w:tabs>
          <w:tab w:val="num" w:pos="2509"/>
        </w:tabs>
        <w:ind w:left="2509" w:hanging="360"/>
      </w:pPr>
      <w:rPr>
        <w:rFonts w:cs="Times New Roman"/>
      </w:rPr>
    </w:lvl>
    <w:lvl w:ilvl="2" w:tplc="0409001B" w:tentative="1">
      <w:start w:val="1"/>
      <w:numFmt w:val="lowerRoman"/>
      <w:lvlText w:val="%3."/>
      <w:lvlJc w:val="right"/>
      <w:pPr>
        <w:tabs>
          <w:tab w:val="num" w:pos="3229"/>
        </w:tabs>
        <w:ind w:left="3229" w:hanging="180"/>
      </w:pPr>
      <w:rPr>
        <w:rFonts w:cs="Times New Roman"/>
      </w:rPr>
    </w:lvl>
    <w:lvl w:ilvl="3" w:tplc="0409000F" w:tentative="1">
      <w:start w:val="1"/>
      <w:numFmt w:val="decimal"/>
      <w:lvlText w:val="%4."/>
      <w:lvlJc w:val="left"/>
      <w:pPr>
        <w:tabs>
          <w:tab w:val="num" w:pos="3949"/>
        </w:tabs>
        <w:ind w:left="3949" w:hanging="360"/>
      </w:pPr>
      <w:rPr>
        <w:rFonts w:cs="Times New Roman"/>
      </w:rPr>
    </w:lvl>
    <w:lvl w:ilvl="4" w:tplc="04090019" w:tentative="1">
      <w:start w:val="1"/>
      <w:numFmt w:val="lowerLetter"/>
      <w:lvlText w:val="%5."/>
      <w:lvlJc w:val="left"/>
      <w:pPr>
        <w:tabs>
          <w:tab w:val="num" w:pos="4669"/>
        </w:tabs>
        <w:ind w:left="4669" w:hanging="360"/>
      </w:pPr>
      <w:rPr>
        <w:rFonts w:cs="Times New Roman"/>
      </w:rPr>
    </w:lvl>
    <w:lvl w:ilvl="5" w:tplc="0409001B" w:tentative="1">
      <w:start w:val="1"/>
      <w:numFmt w:val="lowerRoman"/>
      <w:lvlText w:val="%6."/>
      <w:lvlJc w:val="right"/>
      <w:pPr>
        <w:tabs>
          <w:tab w:val="num" w:pos="5389"/>
        </w:tabs>
        <w:ind w:left="5389" w:hanging="180"/>
      </w:pPr>
      <w:rPr>
        <w:rFonts w:cs="Times New Roman"/>
      </w:rPr>
    </w:lvl>
    <w:lvl w:ilvl="6" w:tplc="0409000F" w:tentative="1">
      <w:start w:val="1"/>
      <w:numFmt w:val="decimal"/>
      <w:lvlText w:val="%7."/>
      <w:lvlJc w:val="left"/>
      <w:pPr>
        <w:tabs>
          <w:tab w:val="num" w:pos="6109"/>
        </w:tabs>
        <w:ind w:left="6109" w:hanging="360"/>
      </w:pPr>
      <w:rPr>
        <w:rFonts w:cs="Times New Roman"/>
      </w:rPr>
    </w:lvl>
    <w:lvl w:ilvl="7" w:tplc="04090019" w:tentative="1">
      <w:start w:val="1"/>
      <w:numFmt w:val="lowerLetter"/>
      <w:lvlText w:val="%8."/>
      <w:lvlJc w:val="left"/>
      <w:pPr>
        <w:tabs>
          <w:tab w:val="num" w:pos="6829"/>
        </w:tabs>
        <w:ind w:left="6829" w:hanging="360"/>
      </w:pPr>
      <w:rPr>
        <w:rFonts w:cs="Times New Roman"/>
      </w:rPr>
    </w:lvl>
    <w:lvl w:ilvl="8" w:tplc="0409001B" w:tentative="1">
      <w:start w:val="1"/>
      <w:numFmt w:val="lowerRoman"/>
      <w:lvlText w:val="%9."/>
      <w:lvlJc w:val="right"/>
      <w:pPr>
        <w:tabs>
          <w:tab w:val="num" w:pos="7549"/>
        </w:tabs>
        <w:ind w:left="7549" w:hanging="180"/>
      </w:pPr>
      <w:rPr>
        <w:rFonts w:cs="Times New Roman"/>
      </w:rPr>
    </w:lvl>
  </w:abstractNum>
  <w:abstractNum w:abstractNumId="1">
    <w:nsid w:val="075E42CA"/>
    <w:multiLevelType w:val="hybridMultilevel"/>
    <w:tmpl w:val="55483178"/>
    <w:lvl w:ilvl="0" w:tplc="2BD63E8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97A33DA"/>
    <w:multiLevelType w:val="multilevel"/>
    <w:tmpl w:val="B7D02198"/>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19B73DC6"/>
    <w:multiLevelType w:val="hybridMultilevel"/>
    <w:tmpl w:val="B7D02198"/>
    <w:lvl w:ilvl="0" w:tplc="12D022C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E81677D"/>
    <w:multiLevelType w:val="hybridMultilevel"/>
    <w:tmpl w:val="02084A48"/>
    <w:lvl w:ilvl="0" w:tplc="71124672">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5F2698C"/>
    <w:multiLevelType w:val="hybridMultilevel"/>
    <w:tmpl w:val="5DD2B34E"/>
    <w:lvl w:ilvl="0" w:tplc="56D6B698">
      <w:start w:val="1"/>
      <w:numFmt w:val="lowerRoman"/>
      <w:lvlText w:val="%1)"/>
      <w:lvlJc w:val="left"/>
      <w:pPr>
        <w:ind w:left="1440" w:hanging="720"/>
      </w:pPr>
      <w:rPr>
        <w:rFonts w:cs="Times New Roman" w:hint="default"/>
      </w:rPr>
    </w:lvl>
    <w:lvl w:ilvl="1" w:tplc="44090019" w:tentative="1">
      <w:start w:val="1"/>
      <w:numFmt w:val="lowerLetter"/>
      <w:lvlText w:val="%2."/>
      <w:lvlJc w:val="left"/>
      <w:pPr>
        <w:ind w:left="1800" w:hanging="360"/>
      </w:pPr>
      <w:rPr>
        <w:rFonts w:cs="Times New Roman"/>
      </w:rPr>
    </w:lvl>
    <w:lvl w:ilvl="2" w:tplc="4409001B" w:tentative="1">
      <w:start w:val="1"/>
      <w:numFmt w:val="lowerRoman"/>
      <w:lvlText w:val="%3."/>
      <w:lvlJc w:val="right"/>
      <w:pPr>
        <w:ind w:left="2520" w:hanging="180"/>
      </w:pPr>
      <w:rPr>
        <w:rFonts w:cs="Times New Roman"/>
      </w:rPr>
    </w:lvl>
    <w:lvl w:ilvl="3" w:tplc="4409000F" w:tentative="1">
      <w:start w:val="1"/>
      <w:numFmt w:val="decimal"/>
      <w:lvlText w:val="%4."/>
      <w:lvlJc w:val="left"/>
      <w:pPr>
        <w:ind w:left="3240" w:hanging="360"/>
      </w:pPr>
      <w:rPr>
        <w:rFonts w:cs="Times New Roman"/>
      </w:rPr>
    </w:lvl>
    <w:lvl w:ilvl="4" w:tplc="44090019" w:tentative="1">
      <w:start w:val="1"/>
      <w:numFmt w:val="lowerLetter"/>
      <w:lvlText w:val="%5."/>
      <w:lvlJc w:val="left"/>
      <w:pPr>
        <w:ind w:left="3960" w:hanging="360"/>
      </w:pPr>
      <w:rPr>
        <w:rFonts w:cs="Times New Roman"/>
      </w:rPr>
    </w:lvl>
    <w:lvl w:ilvl="5" w:tplc="4409001B" w:tentative="1">
      <w:start w:val="1"/>
      <w:numFmt w:val="lowerRoman"/>
      <w:lvlText w:val="%6."/>
      <w:lvlJc w:val="right"/>
      <w:pPr>
        <w:ind w:left="4680" w:hanging="180"/>
      </w:pPr>
      <w:rPr>
        <w:rFonts w:cs="Times New Roman"/>
      </w:rPr>
    </w:lvl>
    <w:lvl w:ilvl="6" w:tplc="4409000F" w:tentative="1">
      <w:start w:val="1"/>
      <w:numFmt w:val="decimal"/>
      <w:lvlText w:val="%7."/>
      <w:lvlJc w:val="left"/>
      <w:pPr>
        <w:ind w:left="5400" w:hanging="360"/>
      </w:pPr>
      <w:rPr>
        <w:rFonts w:cs="Times New Roman"/>
      </w:rPr>
    </w:lvl>
    <w:lvl w:ilvl="7" w:tplc="44090019" w:tentative="1">
      <w:start w:val="1"/>
      <w:numFmt w:val="lowerLetter"/>
      <w:lvlText w:val="%8."/>
      <w:lvlJc w:val="left"/>
      <w:pPr>
        <w:ind w:left="6120" w:hanging="360"/>
      </w:pPr>
      <w:rPr>
        <w:rFonts w:cs="Times New Roman"/>
      </w:rPr>
    </w:lvl>
    <w:lvl w:ilvl="8" w:tplc="4409001B" w:tentative="1">
      <w:start w:val="1"/>
      <w:numFmt w:val="lowerRoman"/>
      <w:lvlText w:val="%9."/>
      <w:lvlJc w:val="right"/>
      <w:pPr>
        <w:ind w:left="6840" w:hanging="180"/>
      </w:pPr>
      <w:rPr>
        <w:rFonts w:cs="Times New Roman"/>
      </w:rPr>
    </w:lvl>
  </w:abstractNum>
  <w:abstractNum w:abstractNumId="6">
    <w:nsid w:val="27BD37CB"/>
    <w:multiLevelType w:val="hybridMultilevel"/>
    <w:tmpl w:val="4DC03864"/>
    <w:lvl w:ilvl="0" w:tplc="51CC8644">
      <w:start w:val="1"/>
      <w:numFmt w:val="lowerRoman"/>
      <w:lvlText w:val="%1)"/>
      <w:lvlJc w:val="left"/>
      <w:pPr>
        <w:ind w:left="1080" w:hanging="72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7">
    <w:nsid w:val="29851393"/>
    <w:multiLevelType w:val="hybridMultilevel"/>
    <w:tmpl w:val="6CC43D7E"/>
    <w:lvl w:ilvl="0" w:tplc="F68E3082">
      <w:start w:val="1"/>
      <w:numFmt w:val="lowerRoman"/>
      <w:lvlText w:val="%1)"/>
      <w:lvlJc w:val="left"/>
      <w:pPr>
        <w:ind w:left="1080" w:hanging="72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8">
    <w:nsid w:val="2A1D4765"/>
    <w:multiLevelType w:val="hybridMultilevel"/>
    <w:tmpl w:val="DC7E8CCE"/>
    <w:lvl w:ilvl="0" w:tplc="4B265EA8">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9">
    <w:nsid w:val="2D7C19C9"/>
    <w:multiLevelType w:val="hybridMultilevel"/>
    <w:tmpl w:val="F27AD6AC"/>
    <w:lvl w:ilvl="0" w:tplc="1F268014">
      <w:start w:val="2"/>
      <w:numFmt w:val="bullet"/>
      <w:lvlText w:val="-"/>
      <w:lvlJc w:val="left"/>
      <w:pPr>
        <w:tabs>
          <w:tab w:val="num" w:pos="1440"/>
        </w:tabs>
        <w:ind w:left="1440" w:hanging="450"/>
      </w:pPr>
      <w:rPr>
        <w:rFonts w:ascii="Times New Roman" w:eastAsia="Times New Roman" w:hAnsi="Times New Roman"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0">
    <w:nsid w:val="2E565F02"/>
    <w:multiLevelType w:val="hybridMultilevel"/>
    <w:tmpl w:val="CC28D1A2"/>
    <w:lvl w:ilvl="0" w:tplc="1276BCF6">
      <w:start w:val="2"/>
      <w:numFmt w:val="lowerRoman"/>
      <w:lvlText w:val="(%1)"/>
      <w:lvlJc w:val="left"/>
      <w:pPr>
        <w:tabs>
          <w:tab w:val="num" w:pos="2149"/>
        </w:tabs>
        <w:ind w:left="2149" w:hanging="720"/>
      </w:pPr>
      <w:rPr>
        <w:rFonts w:cs="Times New Roman" w:hint="default"/>
      </w:rPr>
    </w:lvl>
    <w:lvl w:ilvl="1" w:tplc="04090019" w:tentative="1">
      <w:start w:val="1"/>
      <w:numFmt w:val="lowerLetter"/>
      <w:lvlText w:val="%2."/>
      <w:lvlJc w:val="left"/>
      <w:pPr>
        <w:tabs>
          <w:tab w:val="num" w:pos="2509"/>
        </w:tabs>
        <w:ind w:left="2509" w:hanging="360"/>
      </w:pPr>
      <w:rPr>
        <w:rFonts w:cs="Times New Roman"/>
      </w:rPr>
    </w:lvl>
    <w:lvl w:ilvl="2" w:tplc="0409001B" w:tentative="1">
      <w:start w:val="1"/>
      <w:numFmt w:val="lowerRoman"/>
      <w:lvlText w:val="%3."/>
      <w:lvlJc w:val="right"/>
      <w:pPr>
        <w:tabs>
          <w:tab w:val="num" w:pos="3229"/>
        </w:tabs>
        <w:ind w:left="3229" w:hanging="180"/>
      </w:pPr>
      <w:rPr>
        <w:rFonts w:cs="Times New Roman"/>
      </w:rPr>
    </w:lvl>
    <w:lvl w:ilvl="3" w:tplc="0409000F" w:tentative="1">
      <w:start w:val="1"/>
      <w:numFmt w:val="decimal"/>
      <w:lvlText w:val="%4."/>
      <w:lvlJc w:val="left"/>
      <w:pPr>
        <w:tabs>
          <w:tab w:val="num" w:pos="3949"/>
        </w:tabs>
        <w:ind w:left="3949" w:hanging="360"/>
      </w:pPr>
      <w:rPr>
        <w:rFonts w:cs="Times New Roman"/>
      </w:rPr>
    </w:lvl>
    <w:lvl w:ilvl="4" w:tplc="04090019" w:tentative="1">
      <w:start w:val="1"/>
      <w:numFmt w:val="lowerLetter"/>
      <w:lvlText w:val="%5."/>
      <w:lvlJc w:val="left"/>
      <w:pPr>
        <w:tabs>
          <w:tab w:val="num" w:pos="4669"/>
        </w:tabs>
        <w:ind w:left="4669" w:hanging="360"/>
      </w:pPr>
      <w:rPr>
        <w:rFonts w:cs="Times New Roman"/>
      </w:rPr>
    </w:lvl>
    <w:lvl w:ilvl="5" w:tplc="0409001B" w:tentative="1">
      <w:start w:val="1"/>
      <w:numFmt w:val="lowerRoman"/>
      <w:lvlText w:val="%6."/>
      <w:lvlJc w:val="right"/>
      <w:pPr>
        <w:tabs>
          <w:tab w:val="num" w:pos="5389"/>
        </w:tabs>
        <w:ind w:left="5389" w:hanging="180"/>
      </w:pPr>
      <w:rPr>
        <w:rFonts w:cs="Times New Roman"/>
      </w:rPr>
    </w:lvl>
    <w:lvl w:ilvl="6" w:tplc="0409000F" w:tentative="1">
      <w:start w:val="1"/>
      <w:numFmt w:val="decimal"/>
      <w:lvlText w:val="%7."/>
      <w:lvlJc w:val="left"/>
      <w:pPr>
        <w:tabs>
          <w:tab w:val="num" w:pos="6109"/>
        </w:tabs>
        <w:ind w:left="6109" w:hanging="360"/>
      </w:pPr>
      <w:rPr>
        <w:rFonts w:cs="Times New Roman"/>
      </w:rPr>
    </w:lvl>
    <w:lvl w:ilvl="7" w:tplc="04090019" w:tentative="1">
      <w:start w:val="1"/>
      <w:numFmt w:val="lowerLetter"/>
      <w:lvlText w:val="%8."/>
      <w:lvlJc w:val="left"/>
      <w:pPr>
        <w:tabs>
          <w:tab w:val="num" w:pos="6829"/>
        </w:tabs>
        <w:ind w:left="6829" w:hanging="360"/>
      </w:pPr>
      <w:rPr>
        <w:rFonts w:cs="Times New Roman"/>
      </w:rPr>
    </w:lvl>
    <w:lvl w:ilvl="8" w:tplc="0409001B" w:tentative="1">
      <w:start w:val="1"/>
      <w:numFmt w:val="lowerRoman"/>
      <w:lvlText w:val="%9."/>
      <w:lvlJc w:val="right"/>
      <w:pPr>
        <w:tabs>
          <w:tab w:val="num" w:pos="7549"/>
        </w:tabs>
        <w:ind w:left="7549" w:hanging="180"/>
      </w:pPr>
      <w:rPr>
        <w:rFonts w:cs="Times New Roman"/>
      </w:rPr>
    </w:lvl>
  </w:abstractNum>
  <w:abstractNum w:abstractNumId="11">
    <w:nsid w:val="33C84BEE"/>
    <w:multiLevelType w:val="hybridMultilevel"/>
    <w:tmpl w:val="006CA5DA"/>
    <w:lvl w:ilvl="0" w:tplc="E1FE6F16">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3D10A23"/>
    <w:multiLevelType w:val="hybridMultilevel"/>
    <w:tmpl w:val="1B18BABC"/>
    <w:lvl w:ilvl="0" w:tplc="8D2A0FB6">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5AB2872"/>
    <w:multiLevelType w:val="hybridMultilevel"/>
    <w:tmpl w:val="E188D3B4"/>
    <w:lvl w:ilvl="0" w:tplc="56FC7974">
      <w:start w:val="1"/>
      <w:numFmt w:val="lowerRoman"/>
      <w:lvlText w:val="%1)"/>
      <w:lvlJc w:val="left"/>
      <w:pPr>
        <w:ind w:left="1080" w:hanging="72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4">
    <w:nsid w:val="396A4BB0"/>
    <w:multiLevelType w:val="hybridMultilevel"/>
    <w:tmpl w:val="56BCE3DC"/>
    <w:lvl w:ilvl="0" w:tplc="13F4BBF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D477F54"/>
    <w:multiLevelType w:val="hybridMultilevel"/>
    <w:tmpl w:val="FF88B11C"/>
    <w:lvl w:ilvl="0" w:tplc="7B586D70">
      <w:start w:val="1"/>
      <w:numFmt w:val="lowerRoman"/>
      <w:lvlText w:val="(%1)"/>
      <w:lvlJc w:val="left"/>
      <w:pPr>
        <w:tabs>
          <w:tab w:val="num" w:pos="2153"/>
        </w:tabs>
        <w:ind w:left="2153" w:hanging="735"/>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tentative="1">
      <w:start w:val="1"/>
      <w:numFmt w:val="lowerRoman"/>
      <w:lvlText w:val="%3."/>
      <w:lvlJc w:val="right"/>
      <w:pPr>
        <w:tabs>
          <w:tab w:val="num" w:pos="3218"/>
        </w:tabs>
        <w:ind w:left="3218" w:hanging="180"/>
      </w:pPr>
      <w:rPr>
        <w:rFonts w:cs="Times New Roman"/>
      </w:rPr>
    </w:lvl>
    <w:lvl w:ilvl="3" w:tplc="0409000F" w:tentative="1">
      <w:start w:val="1"/>
      <w:numFmt w:val="decimal"/>
      <w:lvlText w:val="%4."/>
      <w:lvlJc w:val="left"/>
      <w:pPr>
        <w:tabs>
          <w:tab w:val="num" w:pos="3938"/>
        </w:tabs>
        <w:ind w:left="3938" w:hanging="360"/>
      </w:pPr>
      <w:rPr>
        <w:rFonts w:cs="Times New Roman"/>
      </w:rPr>
    </w:lvl>
    <w:lvl w:ilvl="4" w:tplc="04090019" w:tentative="1">
      <w:start w:val="1"/>
      <w:numFmt w:val="lowerLetter"/>
      <w:lvlText w:val="%5."/>
      <w:lvlJc w:val="left"/>
      <w:pPr>
        <w:tabs>
          <w:tab w:val="num" w:pos="4658"/>
        </w:tabs>
        <w:ind w:left="4658" w:hanging="360"/>
      </w:pPr>
      <w:rPr>
        <w:rFonts w:cs="Times New Roman"/>
      </w:rPr>
    </w:lvl>
    <w:lvl w:ilvl="5" w:tplc="0409001B" w:tentative="1">
      <w:start w:val="1"/>
      <w:numFmt w:val="lowerRoman"/>
      <w:lvlText w:val="%6."/>
      <w:lvlJc w:val="right"/>
      <w:pPr>
        <w:tabs>
          <w:tab w:val="num" w:pos="5378"/>
        </w:tabs>
        <w:ind w:left="5378" w:hanging="180"/>
      </w:pPr>
      <w:rPr>
        <w:rFonts w:cs="Times New Roman"/>
      </w:rPr>
    </w:lvl>
    <w:lvl w:ilvl="6" w:tplc="0409000F" w:tentative="1">
      <w:start w:val="1"/>
      <w:numFmt w:val="decimal"/>
      <w:lvlText w:val="%7."/>
      <w:lvlJc w:val="left"/>
      <w:pPr>
        <w:tabs>
          <w:tab w:val="num" w:pos="6098"/>
        </w:tabs>
        <w:ind w:left="6098" w:hanging="360"/>
      </w:pPr>
      <w:rPr>
        <w:rFonts w:cs="Times New Roman"/>
      </w:rPr>
    </w:lvl>
    <w:lvl w:ilvl="7" w:tplc="04090019" w:tentative="1">
      <w:start w:val="1"/>
      <w:numFmt w:val="lowerLetter"/>
      <w:lvlText w:val="%8."/>
      <w:lvlJc w:val="left"/>
      <w:pPr>
        <w:tabs>
          <w:tab w:val="num" w:pos="6818"/>
        </w:tabs>
        <w:ind w:left="6818" w:hanging="360"/>
      </w:pPr>
      <w:rPr>
        <w:rFonts w:cs="Times New Roman"/>
      </w:rPr>
    </w:lvl>
    <w:lvl w:ilvl="8" w:tplc="0409001B" w:tentative="1">
      <w:start w:val="1"/>
      <w:numFmt w:val="lowerRoman"/>
      <w:lvlText w:val="%9."/>
      <w:lvlJc w:val="right"/>
      <w:pPr>
        <w:tabs>
          <w:tab w:val="num" w:pos="7538"/>
        </w:tabs>
        <w:ind w:left="7538" w:hanging="180"/>
      </w:pPr>
      <w:rPr>
        <w:rFonts w:cs="Times New Roman"/>
      </w:rPr>
    </w:lvl>
  </w:abstractNum>
  <w:abstractNum w:abstractNumId="16">
    <w:nsid w:val="3FEC034E"/>
    <w:multiLevelType w:val="hybridMultilevel"/>
    <w:tmpl w:val="2BEEA2B0"/>
    <w:lvl w:ilvl="0" w:tplc="02FE1208">
      <w:start w:val="1"/>
      <w:numFmt w:val="lowerLetter"/>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82F476C"/>
    <w:multiLevelType w:val="hybridMultilevel"/>
    <w:tmpl w:val="D3C252FA"/>
    <w:lvl w:ilvl="0" w:tplc="D3724EE4">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A780044"/>
    <w:multiLevelType w:val="hybridMultilevel"/>
    <w:tmpl w:val="5B5E788E"/>
    <w:lvl w:ilvl="0" w:tplc="B47C9890">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62F04A40"/>
    <w:multiLevelType w:val="hybridMultilevel"/>
    <w:tmpl w:val="2B48C17C"/>
    <w:lvl w:ilvl="0" w:tplc="7188EFD4">
      <w:start w:val="1"/>
      <w:numFmt w:val="lowerRoman"/>
      <w:lvlText w:val="%1)"/>
      <w:lvlJc w:val="left"/>
      <w:pPr>
        <w:ind w:left="1080" w:hanging="72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20">
    <w:nsid w:val="688C0001"/>
    <w:multiLevelType w:val="hybridMultilevel"/>
    <w:tmpl w:val="2F9E0D54"/>
    <w:lvl w:ilvl="0" w:tplc="DD8012DE">
      <w:start w:val="1"/>
      <w:numFmt w:val="lowerRoman"/>
      <w:lvlText w:val="%1)"/>
      <w:lvlJc w:val="left"/>
      <w:pPr>
        <w:ind w:left="1440" w:hanging="720"/>
      </w:pPr>
      <w:rPr>
        <w:rFonts w:cs="Times New Roman" w:hint="default"/>
      </w:rPr>
    </w:lvl>
    <w:lvl w:ilvl="1" w:tplc="44090019" w:tentative="1">
      <w:start w:val="1"/>
      <w:numFmt w:val="lowerLetter"/>
      <w:lvlText w:val="%2."/>
      <w:lvlJc w:val="left"/>
      <w:pPr>
        <w:ind w:left="1800" w:hanging="360"/>
      </w:pPr>
      <w:rPr>
        <w:rFonts w:cs="Times New Roman"/>
      </w:rPr>
    </w:lvl>
    <w:lvl w:ilvl="2" w:tplc="4409001B" w:tentative="1">
      <w:start w:val="1"/>
      <w:numFmt w:val="lowerRoman"/>
      <w:lvlText w:val="%3."/>
      <w:lvlJc w:val="right"/>
      <w:pPr>
        <w:ind w:left="2520" w:hanging="180"/>
      </w:pPr>
      <w:rPr>
        <w:rFonts w:cs="Times New Roman"/>
      </w:rPr>
    </w:lvl>
    <w:lvl w:ilvl="3" w:tplc="4409000F" w:tentative="1">
      <w:start w:val="1"/>
      <w:numFmt w:val="decimal"/>
      <w:lvlText w:val="%4."/>
      <w:lvlJc w:val="left"/>
      <w:pPr>
        <w:ind w:left="3240" w:hanging="360"/>
      </w:pPr>
      <w:rPr>
        <w:rFonts w:cs="Times New Roman"/>
      </w:rPr>
    </w:lvl>
    <w:lvl w:ilvl="4" w:tplc="44090019" w:tentative="1">
      <w:start w:val="1"/>
      <w:numFmt w:val="lowerLetter"/>
      <w:lvlText w:val="%5."/>
      <w:lvlJc w:val="left"/>
      <w:pPr>
        <w:ind w:left="3960" w:hanging="360"/>
      </w:pPr>
      <w:rPr>
        <w:rFonts w:cs="Times New Roman"/>
      </w:rPr>
    </w:lvl>
    <w:lvl w:ilvl="5" w:tplc="4409001B" w:tentative="1">
      <w:start w:val="1"/>
      <w:numFmt w:val="lowerRoman"/>
      <w:lvlText w:val="%6."/>
      <w:lvlJc w:val="right"/>
      <w:pPr>
        <w:ind w:left="4680" w:hanging="180"/>
      </w:pPr>
      <w:rPr>
        <w:rFonts w:cs="Times New Roman"/>
      </w:rPr>
    </w:lvl>
    <w:lvl w:ilvl="6" w:tplc="4409000F" w:tentative="1">
      <w:start w:val="1"/>
      <w:numFmt w:val="decimal"/>
      <w:lvlText w:val="%7."/>
      <w:lvlJc w:val="left"/>
      <w:pPr>
        <w:ind w:left="5400" w:hanging="360"/>
      </w:pPr>
      <w:rPr>
        <w:rFonts w:cs="Times New Roman"/>
      </w:rPr>
    </w:lvl>
    <w:lvl w:ilvl="7" w:tplc="44090019" w:tentative="1">
      <w:start w:val="1"/>
      <w:numFmt w:val="lowerLetter"/>
      <w:lvlText w:val="%8."/>
      <w:lvlJc w:val="left"/>
      <w:pPr>
        <w:ind w:left="6120" w:hanging="360"/>
      </w:pPr>
      <w:rPr>
        <w:rFonts w:cs="Times New Roman"/>
      </w:rPr>
    </w:lvl>
    <w:lvl w:ilvl="8" w:tplc="4409001B" w:tentative="1">
      <w:start w:val="1"/>
      <w:numFmt w:val="lowerRoman"/>
      <w:lvlText w:val="%9."/>
      <w:lvlJc w:val="right"/>
      <w:pPr>
        <w:ind w:left="6840" w:hanging="180"/>
      </w:pPr>
      <w:rPr>
        <w:rFonts w:cs="Times New Roman"/>
      </w:rPr>
    </w:lvl>
  </w:abstractNum>
  <w:abstractNum w:abstractNumId="21">
    <w:nsid w:val="6BA270A1"/>
    <w:multiLevelType w:val="hybridMultilevel"/>
    <w:tmpl w:val="4A842D5A"/>
    <w:lvl w:ilvl="0" w:tplc="593CB438">
      <w:start w:val="1"/>
      <w:numFmt w:val="upperRoman"/>
      <w:lvlText w:val="%1)"/>
      <w:lvlJc w:val="left"/>
      <w:pPr>
        <w:ind w:left="1080" w:hanging="72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22">
    <w:nsid w:val="6CEC7A35"/>
    <w:multiLevelType w:val="hybridMultilevel"/>
    <w:tmpl w:val="29E245D4"/>
    <w:lvl w:ilvl="0" w:tplc="8AAC83D8">
      <w:start w:val="1"/>
      <w:numFmt w:val="lowerRoman"/>
      <w:lvlText w:val="(%1)"/>
      <w:lvlJc w:val="left"/>
      <w:pPr>
        <w:tabs>
          <w:tab w:val="num" w:pos="2149"/>
        </w:tabs>
        <w:ind w:left="2149" w:hanging="720"/>
      </w:pPr>
      <w:rPr>
        <w:rFonts w:cs="Times New Roman" w:hint="default"/>
      </w:rPr>
    </w:lvl>
    <w:lvl w:ilvl="1" w:tplc="04090019" w:tentative="1">
      <w:start w:val="1"/>
      <w:numFmt w:val="lowerLetter"/>
      <w:lvlText w:val="%2."/>
      <w:lvlJc w:val="left"/>
      <w:pPr>
        <w:tabs>
          <w:tab w:val="num" w:pos="2509"/>
        </w:tabs>
        <w:ind w:left="2509" w:hanging="360"/>
      </w:pPr>
      <w:rPr>
        <w:rFonts w:cs="Times New Roman"/>
      </w:rPr>
    </w:lvl>
    <w:lvl w:ilvl="2" w:tplc="0409001B" w:tentative="1">
      <w:start w:val="1"/>
      <w:numFmt w:val="lowerRoman"/>
      <w:lvlText w:val="%3."/>
      <w:lvlJc w:val="right"/>
      <w:pPr>
        <w:tabs>
          <w:tab w:val="num" w:pos="3229"/>
        </w:tabs>
        <w:ind w:left="3229" w:hanging="180"/>
      </w:pPr>
      <w:rPr>
        <w:rFonts w:cs="Times New Roman"/>
      </w:rPr>
    </w:lvl>
    <w:lvl w:ilvl="3" w:tplc="0409000F" w:tentative="1">
      <w:start w:val="1"/>
      <w:numFmt w:val="decimal"/>
      <w:lvlText w:val="%4."/>
      <w:lvlJc w:val="left"/>
      <w:pPr>
        <w:tabs>
          <w:tab w:val="num" w:pos="3949"/>
        </w:tabs>
        <w:ind w:left="3949" w:hanging="360"/>
      </w:pPr>
      <w:rPr>
        <w:rFonts w:cs="Times New Roman"/>
      </w:rPr>
    </w:lvl>
    <w:lvl w:ilvl="4" w:tplc="04090019" w:tentative="1">
      <w:start w:val="1"/>
      <w:numFmt w:val="lowerLetter"/>
      <w:lvlText w:val="%5."/>
      <w:lvlJc w:val="left"/>
      <w:pPr>
        <w:tabs>
          <w:tab w:val="num" w:pos="4669"/>
        </w:tabs>
        <w:ind w:left="4669" w:hanging="360"/>
      </w:pPr>
      <w:rPr>
        <w:rFonts w:cs="Times New Roman"/>
      </w:rPr>
    </w:lvl>
    <w:lvl w:ilvl="5" w:tplc="0409001B" w:tentative="1">
      <w:start w:val="1"/>
      <w:numFmt w:val="lowerRoman"/>
      <w:lvlText w:val="%6."/>
      <w:lvlJc w:val="right"/>
      <w:pPr>
        <w:tabs>
          <w:tab w:val="num" w:pos="5389"/>
        </w:tabs>
        <w:ind w:left="5389" w:hanging="180"/>
      </w:pPr>
      <w:rPr>
        <w:rFonts w:cs="Times New Roman"/>
      </w:rPr>
    </w:lvl>
    <w:lvl w:ilvl="6" w:tplc="0409000F" w:tentative="1">
      <w:start w:val="1"/>
      <w:numFmt w:val="decimal"/>
      <w:lvlText w:val="%7."/>
      <w:lvlJc w:val="left"/>
      <w:pPr>
        <w:tabs>
          <w:tab w:val="num" w:pos="6109"/>
        </w:tabs>
        <w:ind w:left="6109" w:hanging="360"/>
      </w:pPr>
      <w:rPr>
        <w:rFonts w:cs="Times New Roman"/>
      </w:rPr>
    </w:lvl>
    <w:lvl w:ilvl="7" w:tplc="04090019" w:tentative="1">
      <w:start w:val="1"/>
      <w:numFmt w:val="lowerLetter"/>
      <w:lvlText w:val="%8."/>
      <w:lvlJc w:val="left"/>
      <w:pPr>
        <w:tabs>
          <w:tab w:val="num" w:pos="6829"/>
        </w:tabs>
        <w:ind w:left="6829" w:hanging="360"/>
      </w:pPr>
      <w:rPr>
        <w:rFonts w:cs="Times New Roman"/>
      </w:rPr>
    </w:lvl>
    <w:lvl w:ilvl="8" w:tplc="0409001B" w:tentative="1">
      <w:start w:val="1"/>
      <w:numFmt w:val="lowerRoman"/>
      <w:lvlText w:val="%9."/>
      <w:lvlJc w:val="right"/>
      <w:pPr>
        <w:tabs>
          <w:tab w:val="num" w:pos="7549"/>
        </w:tabs>
        <w:ind w:left="7549" w:hanging="180"/>
      </w:pPr>
      <w:rPr>
        <w:rFonts w:cs="Times New Roman"/>
      </w:rPr>
    </w:lvl>
  </w:abstractNum>
  <w:abstractNum w:abstractNumId="23">
    <w:nsid w:val="6FC77052"/>
    <w:multiLevelType w:val="hybridMultilevel"/>
    <w:tmpl w:val="A33232AE"/>
    <w:lvl w:ilvl="0" w:tplc="DEE6C08E">
      <w:start w:val="1"/>
      <w:numFmt w:val="lowerLetter"/>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4">
    <w:nsid w:val="74FE17D1"/>
    <w:multiLevelType w:val="hybridMultilevel"/>
    <w:tmpl w:val="31946BD8"/>
    <w:lvl w:ilvl="0" w:tplc="1F52033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6E76099"/>
    <w:multiLevelType w:val="hybridMultilevel"/>
    <w:tmpl w:val="82300B8E"/>
    <w:lvl w:ilvl="0" w:tplc="2AD0F772">
      <w:start w:val="1"/>
      <w:numFmt w:val="lowerLetter"/>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26">
    <w:nsid w:val="77D455DF"/>
    <w:multiLevelType w:val="hybridMultilevel"/>
    <w:tmpl w:val="D2F6D490"/>
    <w:lvl w:ilvl="0" w:tplc="959E66E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FF37122"/>
    <w:multiLevelType w:val="hybridMultilevel"/>
    <w:tmpl w:val="3D0C4C6A"/>
    <w:lvl w:ilvl="0" w:tplc="6E529784">
      <w:start w:val="1"/>
      <w:numFmt w:val="lowerRoman"/>
      <w:lvlText w:val="%1)"/>
      <w:lvlJc w:val="left"/>
      <w:pPr>
        <w:ind w:left="1440" w:hanging="720"/>
      </w:pPr>
      <w:rPr>
        <w:rFonts w:cs="Times New Roman" w:hint="default"/>
      </w:rPr>
    </w:lvl>
    <w:lvl w:ilvl="1" w:tplc="44090019" w:tentative="1">
      <w:start w:val="1"/>
      <w:numFmt w:val="lowerLetter"/>
      <w:lvlText w:val="%2."/>
      <w:lvlJc w:val="left"/>
      <w:pPr>
        <w:ind w:left="1800" w:hanging="360"/>
      </w:pPr>
      <w:rPr>
        <w:rFonts w:cs="Times New Roman"/>
      </w:rPr>
    </w:lvl>
    <w:lvl w:ilvl="2" w:tplc="4409001B" w:tentative="1">
      <w:start w:val="1"/>
      <w:numFmt w:val="lowerRoman"/>
      <w:lvlText w:val="%3."/>
      <w:lvlJc w:val="right"/>
      <w:pPr>
        <w:ind w:left="2520" w:hanging="180"/>
      </w:pPr>
      <w:rPr>
        <w:rFonts w:cs="Times New Roman"/>
      </w:rPr>
    </w:lvl>
    <w:lvl w:ilvl="3" w:tplc="4409000F" w:tentative="1">
      <w:start w:val="1"/>
      <w:numFmt w:val="decimal"/>
      <w:lvlText w:val="%4."/>
      <w:lvlJc w:val="left"/>
      <w:pPr>
        <w:ind w:left="3240" w:hanging="360"/>
      </w:pPr>
      <w:rPr>
        <w:rFonts w:cs="Times New Roman"/>
      </w:rPr>
    </w:lvl>
    <w:lvl w:ilvl="4" w:tplc="44090019" w:tentative="1">
      <w:start w:val="1"/>
      <w:numFmt w:val="lowerLetter"/>
      <w:lvlText w:val="%5."/>
      <w:lvlJc w:val="left"/>
      <w:pPr>
        <w:ind w:left="3960" w:hanging="360"/>
      </w:pPr>
      <w:rPr>
        <w:rFonts w:cs="Times New Roman"/>
      </w:rPr>
    </w:lvl>
    <w:lvl w:ilvl="5" w:tplc="4409001B" w:tentative="1">
      <w:start w:val="1"/>
      <w:numFmt w:val="lowerRoman"/>
      <w:lvlText w:val="%6."/>
      <w:lvlJc w:val="right"/>
      <w:pPr>
        <w:ind w:left="4680" w:hanging="180"/>
      </w:pPr>
      <w:rPr>
        <w:rFonts w:cs="Times New Roman"/>
      </w:rPr>
    </w:lvl>
    <w:lvl w:ilvl="6" w:tplc="4409000F" w:tentative="1">
      <w:start w:val="1"/>
      <w:numFmt w:val="decimal"/>
      <w:lvlText w:val="%7."/>
      <w:lvlJc w:val="left"/>
      <w:pPr>
        <w:ind w:left="5400" w:hanging="360"/>
      </w:pPr>
      <w:rPr>
        <w:rFonts w:cs="Times New Roman"/>
      </w:rPr>
    </w:lvl>
    <w:lvl w:ilvl="7" w:tplc="44090019" w:tentative="1">
      <w:start w:val="1"/>
      <w:numFmt w:val="lowerLetter"/>
      <w:lvlText w:val="%8."/>
      <w:lvlJc w:val="left"/>
      <w:pPr>
        <w:ind w:left="6120" w:hanging="360"/>
      </w:pPr>
      <w:rPr>
        <w:rFonts w:cs="Times New Roman"/>
      </w:rPr>
    </w:lvl>
    <w:lvl w:ilvl="8" w:tplc="4409001B" w:tentative="1">
      <w:start w:val="1"/>
      <w:numFmt w:val="lowerRoman"/>
      <w:lvlText w:val="%9."/>
      <w:lvlJc w:val="right"/>
      <w:pPr>
        <w:ind w:left="6840" w:hanging="180"/>
      </w:pPr>
      <w:rPr>
        <w:rFonts w:cs="Times New Roman"/>
      </w:rPr>
    </w:lvl>
  </w:abstractNum>
  <w:num w:numId="1">
    <w:abstractNumId w:val="23"/>
  </w:num>
  <w:num w:numId="2">
    <w:abstractNumId w:val="12"/>
  </w:num>
  <w:num w:numId="3">
    <w:abstractNumId w:val="15"/>
  </w:num>
  <w:num w:numId="4">
    <w:abstractNumId w:val="0"/>
  </w:num>
  <w:num w:numId="5">
    <w:abstractNumId w:val="4"/>
  </w:num>
  <w:num w:numId="6">
    <w:abstractNumId w:val="24"/>
  </w:num>
  <w:num w:numId="7">
    <w:abstractNumId w:val="17"/>
  </w:num>
  <w:num w:numId="8">
    <w:abstractNumId w:val="14"/>
  </w:num>
  <w:num w:numId="9">
    <w:abstractNumId w:val="22"/>
  </w:num>
  <w:num w:numId="10">
    <w:abstractNumId w:val="26"/>
  </w:num>
  <w:num w:numId="11">
    <w:abstractNumId w:val="10"/>
  </w:num>
  <w:num w:numId="12">
    <w:abstractNumId w:val="18"/>
  </w:num>
  <w:num w:numId="13">
    <w:abstractNumId w:val="1"/>
  </w:num>
  <w:num w:numId="14">
    <w:abstractNumId w:val="16"/>
  </w:num>
  <w:num w:numId="15">
    <w:abstractNumId w:val="8"/>
  </w:num>
  <w:num w:numId="16">
    <w:abstractNumId w:val="9"/>
  </w:num>
  <w:num w:numId="17">
    <w:abstractNumId w:val="11"/>
  </w:num>
  <w:num w:numId="18">
    <w:abstractNumId w:val="3"/>
  </w:num>
  <w:num w:numId="19">
    <w:abstractNumId w:val="2"/>
  </w:num>
  <w:num w:numId="20">
    <w:abstractNumId w:val="25"/>
  </w:num>
  <w:num w:numId="21">
    <w:abstractNumId w:val="27"/>
  </w:num>
  <w:num w:numId="22">
    <w:abstractNumId w:val="19"/>
  </w:num>
  <w:num w:numId="23">
    <w:abstractNumId w:val="13"/>
  </w:num>
  <w:num w:numId="24">
    <w:abstractNumId w:val="21"/>
  </w:num>
  <w:num w:numId="25">
    <w:abstractNumId w:val="7"/>
  </w:num>
  <w:num w:numId="26">
    <w:abstractNumId w:val="20"/>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B0B"/>
    <w:rsid w:val="00000D69"/>
    <w:rsid w:val="000010C9"/>
    <w:rsid w:val="000014E3"/>
    <w:rsid w:val="0000163A"/>
    <w:rsid w:val="00002AEC"/>
    <w:rsid w:val="00004435"/>
    <w:rsid w:val="00004DA0"/>
    <w:rsid w:val="00004EF7"/>
    <w:rsid w:val="00005B8B"/>
    <w:rsid w:val="00007F54"/>
    <w:rsid w:val="0001010C"/>
    <w:rsid w:val="00010B58"/>
    <w:rsid w:val="00011E8A"/>
    <w:rsid w:val="0001440F"/>
    <w:rsid w:val="00014C6E"/>
    <w:rsid w:val="0001517F"/>
    <w:rsid w:val="000154AA"/>
    <w:rsid w:val="000158EB"/>
    <w:rsid w:val="00015C5E"/>
    <w:rsid w:val="00016C5E"/>
    <w:rsid w:val="00016F0D"/>
    <w:rsid w:val="000171CA"/>
    <w:rsid w:val="00017931"/>
    <w:rsid w:val="00017C41"/>
    <w:rsid w:val="00020264"/>
    <w:rsid w:val="000203FB"/>
    <w:rsid w:val="00020AC0"/>
    <w:rsid w:val="00020F54"/>
    <w:rsid w:val="00021A12"/>
    <w:rsid w:val="00022A7F"/>
    <w:rsid w:val="00023E70"/>
    <w:rsid w:val="00025157"/>
    <w:rsid w:val="000252B5"/>
    <w:rsid w:val="000254D7"/>
    <w:rsid w:val="00025823"/>
    <w:rsid w:val="00025CF5"/>
    <w:rsid w:val="0002611A"/>
    <w:rsid w:val="00026261"/>
    <w:rsid w:val="00026334"/>
    <w:rsid w:val="000268AE"/>
    <w:rsid w:val="0002723F"/>
    <w:rsid w:val="0002753B"/>
    <w:rsid w:val="0002776F"/>
    <w:rsid w:val="000314CA"/>
    <w:rsid w:val="000319DA"/>
    <w:rsid w:val="00032393"/>
    <w:rsid w:val="000330FB"/>
    <w:rsid w:val="000333A7"/>
    <w:rsid w:val="000335B6"/>
    <w:rsid w:val="000344D8"/>
    <w:rsid w:val="0003489B"/>
    <w:rsid w:val="00034E4D"/>
    <w:rsid w:val="0003579D"/>
    <w:rsid w:val="00035ABA"/>
    <w:rsid w:val="00035B79"/>
    <w:rsid w:val="000363B8"/>
    <w:rsid w:val="00036F01"/>
    <w:rsid w:val="00037096"/>
    <w:rsid w:val="00037406"/>
    <w:rsid w:val="00037AE6"/>
    <w:rsid w:val="00037E2E"/>
    <w:rsid w:val="00037F88"/>
    <w:rsid w:val="00037FE3"/>
    <w:rsid w:val="00040752"/>
    <w:rsid w:val="00040842"/>
    <w:rsid w:val="0004086D"/>
    <w:rsid w:val="000409DC"/>
    <w:rsid w:val="00040AAB"/>
    <w:rsid w:val="00040DE1"/>
    <w:rsid w:val="00041143"/>
    <w:rsid w:val="00041155"/>
    <w:rsid w:val="00041313"/>
    <w:rsid w:val="00041DC2"/>
    <w:rsid w:val="00041DD4"/>
    <w:rsid w:val="000426C9"/>
    <w:rsid w:val="000437DF"/>
    <w:rsid w:val="00043F45"/>
    <w:rsid w:val="00045C0E"/>
    <w:rsid w:val="00045C3F"/>
    <w:rsid w:val="00045D5F"/>
    <w:rsid w:val="00045DBC"/>
    <w:rsid w:val="00045DED"/>
    <w:rsid w:val="000464AF"/>
    <w:rsid w:val="00046960"/>
    <w:rsid w:val="00046E55"/>
    <w:rsid w:val="00046E61"/>
    <w:rsid w:val="00047027"/>
    <w:rsid w:val="000471F2"/>
    <w:rsid w:val="00047633"/>
    <w:rsid w:val="00047A27"/>
    <w:rsid w:val="0005008E"/>
    <w:rsid w:val="00051F27"/>
    <w:rsid w:val="00052B53"/>
    <w:rsid w:val="000541B3"/>
    <w:rsid w:val="000542B6"/>
    <w:rsid w:val="00055122"/>
    <w:rsid w:val="00055144"/>
    <w:rsid w:val="0005552C"/>
    <w:rsid w:val="00055602"/>
    <w:rsid w:val="0005576F"/>
    <w:rsid w:val="00055DA9"/>
    <w:rsid w:val="0005667C"/>
    <w:rsid w:val="000572DE"/>
    <w:rsid w:val="00057DE7"/>
    <w:rsid w:val="00057F2D"/>
    <w:rsid w:val="0006021A"/>
    <w:rsid w:val="00061012"/>
    <w:rsid w:val="0006137E"/>
    <w:rsid w:val="0006234C"/>
    <w:rsid w:val="0006386F"/>
    <w:rsid w:val="00063BB5"/>
    <w:rsid w:val="0006460A"/>
    <w:rsid w:val="00065CC7"/>
    <w:rsid w:val="00066140"/>
    <w:rsid w:val="00066363"/>
    <w:rsid w:val="000668FB"/>
    <w:rsid w:val="000673CE"/>
    <w:rsid w:val="00067559"/>
    <w:rsid w:val="0006755C"/>
    <w:rsid w:val="000704F0"/>
    <w:rsid w:val="00070E1D"/>
    <w:rsid w:val="00071455"/>
    <w:rsid w:val="00071AD8"/>
    <w:rsid w:val="00071FBB"/>
    <w:rsid w:val="00072AD8"/>
    <w:rsid w:val="00073672"/>
    <w:rsid w:val="00074141"/>
    <w:rsid w:val="0007436E"/>
    <w:rsid w:val="00074BDB"/>
    <w:rsid w:val="00074C55"/>
    <w:rsid w:val="00075D4B"/>
    <w:rsid w:val="00076623"/>
    <w:rsid w:val="000772DF"/>
    <w:rsid w:val="00081CD0"/>
    <w:rsid w:val="00082238"/>
    <w:rsid w:val="00082E4D"/>
    <w:rsid w:val="0008568C"/>
    <w:rsid w:val="00085A08"/>
    <w:rsid w:val="0008627E"/>
    <w:rsid w:val="0008629C"/>
    <w:rsid w:val="0008683B"/>
    <w:rsid w:val="0008699A"/>
    <w:rsid w:val="000901FF"/>
    <w:rsid w:val="000916A2"/>
    <w:rsid w:val="00091827"/>
    <w:rsid w:val="000919FD"/>
    <w:rsid w:val="00092854"/>
    <w:rsid w:val="0009289A"/>
    <w:rsid w:val="000954A4"/>
    <w:rsid w:val="00096408"/>
    <w:rsid w:val="0009641D"/>
    <w:rsid w:val="00097555"/>
    <w:rsid w:val="0009767B"/>
    <w:rsid w:val="00097CCD"/>
    <w:rsid w:val="000A0430"/>
    <w:rsid w:val="000A051B"/>
    <w:rsid w:val="000A0B48"/>
    <w:rsid w:val="000A168E"/>
    <w:rsid w:val="000A17B0"/>
    <w:rsid w:val="000A2088"/>
    <w:rsid w:val="000A4108"/>
    <w:rsid w:val="000A4933"/>
    <w:rsid w:val="000A5250"/>
    <w:rsid w:val="000A52B6"/>
    <w:rsid w:val="000A5548"/>
    <w:rsid w:val="000A632B"/>
    <w:rsid w:val="000A7F5C"/>
    <w:rsid w:val="000B039C"/>
    <w:rsid w:val="000B0A29"/>
    <w:rsid w:val="000B16A2"/>
    <w:rsid w:val="000B18F9"/>
    <w:rsid w:val="000B1C3D"/>
    <w:rsid w:val="000B1CB7"/>
    <w:rsid w:val="000B2608"/>
    <w:rsid w:val="000B299E"/>
    <w:rsid w:val="000B33D1"/>
    <w:rsid w:val="000B36AA"/>
    <w:rsid w:val="000B3890"/>
    <w:rsid w:val="000B3ABC"/>
    <w:rsid w:val="000B5490"/>
    <w:rsid w:val="000B5FAD"/>
    <w:rsid w:val="000B6236"/>
    <w:rsid w:val="000B635C"/>
    <w:rsid w:val="000B690C"/>
    <w:rsid w:val="000B6CF5"/>
    <w:rsid w:val="000B6F8E"/>
    <w:rsid w:val="000B73E1"/>
    <w:rsid w:val="000B75D3"/>
    <w:rsid w:val="000B79A6"/>
    <w:rsid w:val="000B7E01"/>
    <w:rsid w:val="000C2212"/>
    <w:rsid w:val="000C2449"/>
    <w:rsid w:val="000C381F"/>
    <w:rsid w:val="000C3C10"/>
    <w:rsid w:val="000C46F4"/>
    <w:rsid w:val="000C4A40"/>
    <w:rsid w:val="000C4C68"/>
    <w:rsid w:val="000C50B7"/>
    <w:rsid w:val="000C5473"/>
    <w:rsid w:val="000C55E6"/>
    <w:rsid w:val="000C6CCE"/>
    <w:rsid w:val="000C74AE"/>
    <w:rsid w:val="000D13F0"/>
    <w:rsid w:val="000D1CDF"/>
    <w:rsid w:val="000D20BE"/>
    <w:rsid w:val="000D228D"/>
    <w:rsid w:val="000D2AC9"/>
    <w:rsid w:val="000D420C"/>
    <w:rsid w:val="000D4270"/>
    <w:rsid w:val="000D49FE"/>
    <w:rsid w:val="000D4F2B"/>
    <w:rsid w:val="000D56FC"/>
    <w:rsid w:val="000D588E"/>
    <w:rsid w:val="000D5C4C"/>
    <w:rsid w:val="000D6507"/>
    <w:rsid w:val="000D673D"/>
    <w:rsid w:val="000D6AF2"/>
    <w:rsid w:val="000D709B"/>
    <w:rsid w:val="000E0532"/>
    <w:rsid w:val="000E0A37"/>
    <w:rsid w:val="000E0AB1"/>
    <w:rsid w:val="000E1203"/>
    <w:rsid w:val="000E1C23"/>
    <w:rsid w:val="000E23A8"/>
    <w:rsid w:val="000E2DA5"/>
    <w:rsid w:val="000E3275"/>
    <w:rsid w:val="000E3C82"/>
    <w:rsid w:val="000E44BD"/>
    <w:rsid w:val="000E4655"/>
    <w:rsid w:val="000E4E9F"/>
    <w:rsid w:val="000E4EA1"/>
    <w:rsid w:val="000E55BD"/>
    <w:rsid w:val="000E62C9"/>
    <w:rsid w:val="000E6800"/>
    <w:rsid w:val="000E7235"/>
    <w:rsid w:val="000E7C32"/>
    <w:rsid w:val="000F0BE0"/>
    <w:rsid w:val="000F0C22"/>
    <w:rsid w:val="000F149B"/>
    <w:rsid w:val="000F14E5"/>
    <w:rsid w:val="000F2262"/>
    <w:rsid w:val="000F2345"/>
    <w:rsid w:val="000F23E3"/>
    <w:rsid w:val="000F2BCA"/>
    <w:rsid w:val="000F52D2"/>
    <w:rsid w:val="000F74DD"/>
    <w:rsid w:val="000F7991"/>
    <w:rsid w:val="00100227"/>
    <w:rsid w:val="00100F44"/>
    <w:rsid w:val="00101201"/>
    <w:rsid w:val="00101D8F"/>
    <w:rsid w:val="00101FE0"/>
    <w:rsid w:val="001025AC"/>
    <w:rsid w:val="00102DC7"/>
    <w:rsid w:val="00103845"/>
    <w:rsid w:val="001038CD"/>
    <w:rsid w:val="00103B6D"/>
    <w:rsid w:val="001041D9"/>
    <w:rsid w:val="001041DA"/>
    <w:rsid w:val="001049B5"/>
    <w:rsid w:val="001058AC"/>
    <w:rsid w:val="00105C25"/>
    <w:rsid w:val="00105CEF"/>
    <w:rsid w:val="00105F18"/>
    <w:rsid w:val="001061AA"/>
    <w:rsid w:val="0010714C"/>
    <w:rsid w:val="0010715F"/>
    <w:rsid w:val="001104BE"/>
    <w:rsid w:val="0011350D"/>
    <w:rsid w:val="00113A2E"/>
    <w:rsid w:val="00114A18"/>
    <w:rsid w:val="00114AB3"/>
    <w:rsid w:val="00114BA0"/>
    <w:rsid w:val="00115554"/>
    <w:rsid w:val="001160FD"/>
    <w:rsid w:val="00116629"/>
    <w:rsid w:val="00116781"/>
    <w:rsid w:val="00116F8E"/>
    <w:rsid w:val="0011718C"/>
    <w:rsid w:val="00117551"/>
    <w:rsid w:val="001177BF"/>
    <w:rsid w:val="001177D0"/>
    <w:rsid w:val="00117C47"/>
    <w:rsid w:val="00117D00"/>
    <w:rsid w:val="00117E7F"/>
    <w:rsid w:val="001206E0"/>
    <w:rsid w:val="001211D6"/>
    <w:rsid w:val="00121D65"/>
    <w:rsid w:val="00121DAB"/>
    <w:rsid w:val="00121DFC"/>
    <w:rsid w:val="00121F60"/>
    <w:rsid w:val="001229D9"/>
    <w:rsid w:val="00122A63"/>
    <w:rsid w:val="00122B49"/>
    <w:rsid w:val="00123809"/>
    <w:rsid w:val="00123C38"/>
    <w:rsid w:val="00123F17"/>
    <w:rsid w:val="0012447E"/>
    <w:rsid w:val="00124E7E"/>
    <w:rsid w:val="00125DD3"/>
    <w:rsid w:val="00125E81"/>
    <w:rsid w:val="00126969"/>
    <w:rsid w:val="00126B3A"/>
    <w:rsid w:val="00126B79"/>
    <w:rsid w:val="00126F47"/>
    <w:rsid w:val="001277EB"/>
    <w:rsid w:val="0013091A"/>
    <w:rsid w:val="0013157D"/>
    <w:rsid w:val="001319F8"/>
    <w:rsid w:val="00131DF1"/>
    <w:rsid w:val="00132427"/>
    <w:rsid w:val="0013301D"/>
    <w:rsid w:val="00133CA8"/>
    <w:rsid w:val="00133FD6"/>
    <w:rsid w:val="00134352"/>
    <w:rsid w:val="00134D66"/>
    <w:rsid w:val="00134FF4"/>
    <w:rsid w:val="00135231"/>
    <w:rsid w:val="00135C8C"/>
    <w:rsid w:val="00135C93"/>
    <w:rsid w:val="00135F00"/>
    <w:rsid w:val="00136326"/>
    <w:rsid w:val="00136944"/>
    <w:rsid w:val="00136A54"/>
    <w:rsid w:val="00136FFC"/>
    <w:rsid w:val="001373F2"/>
    <w:rsid w:val="00137842"/>
    <w:rsid w:val="00140657"/>
    <w:rsid w:val="00140C3A"/>
    <w:rsid w:val="00141793"/>
    <w:rsid w:val="0014236F"/>
    <w:rsid w:val="00142CAB"/>
    <w:rsid w:val="0014517F"/>
    <w:rsid w:val="001453B3"/>
    <w:rsid w:val="00145598"/>
    <w:rsid w:val="0014581C"/>
    <w:rsid w:val="00145ACC"/>
    <w:rsid w:val="00146515"/>
    <w:rsid w:val="00146BDC"/>
    <w:rsid w:val="00146DBE"/>
    <w:rsid w:val="00147472"/>
    <w:rsid w:val="00147817"/>
    <w:rsid w:val="00147D16"/>
    <w:rsid w:val="00150258"/>
    <w:rsid w:val="0015096C"/>
    <w:rsid w:val="00150E7D"/>
    <w:rsid w:val="00151035"/>
    <w:rsid w:val="001514BA"/>
    <w:rsid w:val="001517E4"/>
    <w:rsid w:val="00151EDF"/>
    <w:rsid w:val="00152B74"/>
    <w:rsid w:val="00153840"/>
    <w:rsid w:val="00153CC4"/>
    <w:rsid w:val="00153DF5"/>
    <w:rsid w:val="00154646"/>
    <w:rsid w:val="00154936"/>
    <w:rsid w:val="00154AF0"/>
    <w:rsid w:val="0015627F"/>
    <w:rsid w:val="00156EE6"/>
    <w:rsid w:val="00157344"/>
    <w:rsid w:val="00157A07"/>
    <w:rsid w:val="0016053B"/>
    <w:rsid w:val="00161914"/>
    <w:rsid w:val="0016215B"/>
    <w:rsid w:val="001646AE"/>
    <w:rsid w:val="00164DD0"/>
    <w:rsid w:val="00164FA6"/>
    <w:rsid w:val="001652BD"/>
    <w:rsid w:val="00165395"/>
    <w:rsid w:val="001655C8"/>
    <w:rsid w:val="00165EE9"/>
    <w:rsid w:val="00165FC1"/>
    <w:rsid w:val="001660F9"/>
    <w:rsid w:val="0016644E"/>
    <w:rsid w:val="00166CC0"/>
    <w:rsid w:val="00166CC2"/>
    <w:rsid w:val="00166F16"/>
    <w:rsid w:val="0016786C"/>
    <w:rsid w:val="00167904"/>
    <w:rsid w:val="0016792A"/>
    <w:rsid w:val="00167973"/>
    <w:rsid w:val="0017053E"/>
    <w:rsid w:val="0017053F"/>
    <w:rsid w:val="00170FF0"/>
    <w:rsid w:val="0017108C"/>
    <w:rsid w:val="001717BF"/>
    <w:rsid w:val="0017201C"/>
    <w:rsid w:val="0017217A"/>
    <w:rsid w:val="001726D3"/>
    <w:rsid w:val="00172BCF"/>
    <w:rsid w:val="00172C98"/>
    <w:rsid w:val="00173079"/>
    <w:rsid w:val="0017323A"/>
    <w:rsid w:val="00173827"/>
    <w:rsid w:val="00173FA0"/>
    <w:rsid w:val="001746E3"/>
    <w:rsid w:val="001747ED"/>
    <w:rsid w:val="00174919"/>
    <w:rsid w:val="00174930"/>
    <w:rsid w:val="0017584E"/>
    <w:rsid w:val="00176AE6"/>
    <w:rsid w:val="00177474"/>
    <w:rsid w:val="00177691"/>
    <w:rsid w:val="00177A5F"/>
    <w:rsid w:val="00180BC7"/>
    <w:rsid w:val="001811D6"/>
    <w:rsid w:val="00181B17"/>
    <w:rsid w:val="00181E3D"/>
    <w:rsid w:val="00181F04"/>
    <w:rsid w:val="00182072"/>
    <w:rsid w:val="001825BB"/>
    <w:rsid w:val="00182B46"/>
    <w:rsid w:val="00182B8D"/>
    <w:rsid w:val="00182C61"/>
    <w:rsid w:val="00182F95"/>
    <w:rsid w:val="001840FA"/>
    <w:rsid w:val="00184AC4"/>
    <w:rsid w:val="001850D1"/>
    <w:rsid w:val="00185484"/>
    <w:rsid w:val="0018623C"/>
    <w:rsid w:val="001864D2"/>
    <w:rsid w:val="00186C01"/>
    <w:rsid w:val="00191DC7"/>
    <w:rsid w:val="001929B0"/>
    <w:rsid w:val="00192E19"/>
    <w:rsid w:val="00193138"/>
    <w:rsid w:val="00193A02"/>
    <w:rsid w:val="00193A5C"/>
    <w:rsid w:val="001946D6"/>
    <w:rsid w:val="00194CE3"/>
    <w:rsid w:val="0019540C"/>
    <w:rsid w:val="00195D43"/>
    <w:rsid w:val="00195F23"/>
    <w:rsid w:val="0019652F"/>
    <w:rsid w:val="00196D1C"/>
    <w:rsid w:val="00196D5B"/>
    <w:rsid w:val="001975CF"/>
    <w:rsid w:val="001A07A0"/>
    <w:rsid w:val="001A0CC2"/>
    <w:rsid w:val="001A0F3B"/>
    <w:rsid w:val="001A10E0"/>
    <w:rsid w:val="001A16FF"/>
    <w:rsid w:val="001A1F9D"/>
    <w:rsid w:val="001A246D"/>
    <w:rsid w:val="001A285F"/>
    <w:rsid w:val="001A3607"/>
    <w:rsid w:val="001A3D1C"/>
    <w:rsid w:val="001A4251"/>
    <w:rsid w:val="001A4D73"/>
    <w:rsid w:val="001A512D"/>
    <w:rsid w:val="001A51F6"/>
    <w:rsid w:val="001A567F"/>
    <w:rsid w:val="001A56F4"/>
    <w:rsid w:val="001A6048"/>
    <w:rsid w:val="001A638C"/>
    <w:rsid w:val="001A64DE"/>
    <w:rsid w:val="001A67B9"/>
    <w:rsid w:val="001A68B6"/>
    <w:rsid w:val="001A78E6"/>
    <w:rsid w:val="001B0A50"/>
    <w:rsid w:val="001B0A7F"/>
    <w:rsid w:val="001B0BE2"/>
    <w:rsid w:val="001B14AF"/>
    <w:rsid w:val="001B1920"/>
    <w:rsid w:val="001B1BCD"/>
    <w:rsid w:val="001B1D2C"/>
    <w:rsid w:val="001B26E1"/>
    <w:rsid w:val="001B2CFF"/>
    <w:rsid w:val="001B3DE3"/>
    <w:rsid w:val="001B4384"/>
    <w:rsid w:val="001B49C6"/>
    <w:rsid w:val="001B4A74"/>
    <w:rsid w:val="001B5D45"/>
    <w:rsid w:val="001B66D7"/>
    <w:rsid w:val="001B6CAC"/>
    <w:rsid w:val="001B6F4C"/>
    <w:rsid w:val="001B7BAC"/>
    <w:rsid w:val="001C0987"/>
    <w:rsid w:val="001C0DED"/>
    <w:rsid w:val="001C1F1F"/>
    <w:rsid w:val="001C3AF3"/>
    <w:rsid w:val="001C448C"/>
    <w:rsid w:val="001C4513"/>
    <w:rsid w:val="001C4873"/>
    <w:rsid w:val="001C4A3C"/>
    <w:rsid w:val="001C4BC5"/>
    <w:rsid w:val="001C4D4A"/>
    <w:rsid w:val="001C4FD5"/>
    <w:rsid w:val="001C57B9"/>
    <w:rsid w:val="001C5C41"/>
    <w:rsid w:val="001C5D92"/>
    <w:rsid w:val="001C6804"/>
    <w:rsid w:val="001C6FA2"/>
    <w:rsid w:val="001C740B"/>
    <w:rsid w:val="001C7DE4"/>
    <w:rsid w:val="001D058D"/>
    <w:rsid w:val="001D09F3"/>
    <w:rsid w:val="001D0CC4"/>
    <w:rsid w:val="001D0DE6"/>
    <w:rsid w:val="001D1F2B"/>
    <w:rsid w:val="001D24CF"/>
    <w:rsid w:val="001D31B5"/>
    <w:rsid w:val="001D40EB"/>
    <w:rsid w:val="001D458C"/>
    <w:rsid w:val="001D4ACA"/>
    <w:rsid w:val="001D4C0A"/>
    <w:rsid w:val="001D565C"/>
    <w:rsid w:val="001D5864"/>
    <w:rsid w:val="001D58FB"/>
    <w:rsid w:val="001D5B1D"/>
    <w:rsid w:val="001D5EBC"/>
    <w:rsid w:val="001D60E8"/>
    <w:rsid w:val="001D62B4"/>
    <w:rsid w:val="001D736C"/>
    <w:rsid w:val="001D7CD0"/>
    <w:rsid w:val="001D7F93"/>
    <w:rsid w:val="001E0340"/>
    <w:rsid w:val="001E1802"/>
    <w:rsid w:val="001E1BED"/>
    <w:rsid w:val="001E1E33"/>
    <w:rsid w:val="001E283F"/>
    <w:rsid w:val="001E30D5"/>
    <w:rsid w:val="001F0282"/>
    <w:rsid w:val="001F0B75"/>
    <w:rsid w:val="001F1416"/>
    <w:rsid w:val="001F14A3"/>
    <w:rsid w:val="001F30D5"/>
    <w:rsid w:val="001F31A5"/>
    <w:rsid w:val="001F3551"/>
    <w:rsid w:val="001F38D8"/>
    <w:rsid w:val="001F5DCB"/>
    <w:rsid w:val="001F641F"/>
    <w:rsid w:val="001F7496"/>
    <w:rsid w:val="001F7B02"/>
    <w:rsid w:val="002007ED"/>
    <w:rsid w:val="0020373C"/>
    <w:rsid w:val="002042C8"/>
    <w:rsid w:val="002049CC"/>
    <w:rsid w:val="00205342"/>
    <w:rsid w:val="00205E39"/>
    <w:rsid w:val="00206561"/>
    <w:rsid w:val="00206895"/>
    <w:rsid w:val="00206B6B"/>
    <w:rsid w:val="00206D79"/>
    <w:rsid w:val="00210643"/>
    <w:rsid w:val="00210829"/>
    <w:rsid w:val="00211050"/>
    <w:rsid w:val="00211766"/>
    <w:rsid w:val="002121D6"/>
    <w:rsid w:val="00213ECC"/>
    <w:rsid w:val="002148E2"/>
    <w:rsid w:val="00214B98"/>
    <w:rsid w:val="0021505A"/>
    <w:rsid w:val="0021545F"/>
    <w:rsid w:val="00215FAE"/>
    <w:rsid w:val="00216619"/>
    <w:rsid w:val="002174E6"/>
    <w:rsid w:val="00220B44"/>
    <w:rsid w:val="002213DE"/>
    <w:rsid w:val="00221FFA"/>
    <w:rsid w:val="00222785"/>
    <w:rsid w:val="0022341D"/>
    <w:rsid w:val="002235DE"/>
    <w:rsid w:val="00223BE7"/>
    <w:rsid w:val="002242AD"/>
    <w:rsid w:val="00226918"/>
    <w:rsid w:val="002274C8"/>
    <w:rsid w:val="00227797"/>
    <w:rsid w:val="002308C2"/>
    <w:rsid w:val="00231B68"/>
    <w:rsid w:val="00231EDB"/>
    <w:rsid w:val="0023289B"/>
    <w:rsid w:val="00232F28"/>
    <w:rsid w:val="00233028"/>
    <w:rsid w:val="002333DD"/>
    <w:rsid w:val="00233542"/>
    <w:rsid w:val="0023511F"/>
    <w:rsid w:val="002352F9"/>
    <w:rsid w:val="002355EB"/>
    <w:rsid w:val="002357B6"/>
    <w:rsid w:val="00235E00"/>
    <w:rsid w:val="002362EF"/>
    <w:rsid w:val="0023689F"/>
    <w:rsid w:val="00236E0D"/>
    <w:rsid w:val="002406FB"/>
    <w:rsid w:val="0024188F"/>
    <w:rsid w:val="00242A7A"/>
    <w:rsid w:val="00242C2B"/>
    <w:rsid w:val="00242EE2"/>
    <w:rsid w:val="00244218"/>
    <w:rsid w:val="002445EB"/>
    <w:rsid w:val="002454B3"/>
    <w:rsid w:val="00246199"/>
    <w:rsid w:val="002461D9"/>
    <w:rsid w:val="00246503"/>
    <w:rsid w:val="00246DE9"/>
    <w:rsid w:val="00246E54"/>
    <w:rsid w:val="00246F23"/>
    <w:rsid w:val="0024793D"/>
    <w:rsid w:val="00247AD3"/>
    <w:rsid w:val="00247B31"/>
    <w:rsid w:val="00247EB8"/>
    <w:rsid w:val="00250626"/>
    <w:rsid w:val="00250D1C"/>
    <w:rsid w:val="0025131A"/>
    <w:rsid w:val="00252287"/>
    <w:rsid w:val="0025329F"/>
    <w:rsid w:val="00253599"/>
    <w:rsid w:val="00253AE4"/>
    <w:rsid w:val="002549F7"/>
    <w:rsid w:val="00254E7F"/>
    <w:rsid w:val="0025642B"/>
    <w:rsid w:val="00256665"/>
    <w:rsid w:val="00257462"/>
    <w:rsid w:val="00257838"/>
    <w:rsid w:val="002578E8"/>
    <w:rsid w:val="00257A89"/>
    <w:rsid w:val="00260702"/>
    <w:rsid w:val="00261593"/>
    <w:rsid w:val="00261AC6"/>
    <w:rsid w:val="00262B64"/>
    <w:rsid w:val="00262E56"/>
    <w:rsid w:val="002632CC"/>
    <w:rsid w:val="002637A3"/>
    <w:rsid w:val="00264BE7"/>
    <w:rsid w:val="00265940"/>
    <w:rsid w:val="00265A6E"/>
    <w:rsid w:val="00265FE3"/>
    <w:rsid w:val="002661F7"/>
    <w:rsid w:val="00266343"/>
    <w:rsid w:val="00266C97"/>
    <w:rsid w:val="00266D03"/>
    <w:rsid w:val="00267866"/>
    <w:rsid w:val="00267E4B"/>
    <w:rsid w:val="002705E5"/>
    <w:rsid w:val="00270726"/>
    <w:rsid w:val="00270F2A"/>
    <w:rsid w:val="0027259A"/>
    <w:rsid w:val="00272ECA"/>
    <w:rsid w:val="00272F97"/>
    <w:rsid w:val="002737B0"/>
    <w:rsid w:val="00273B85"/>
    <w:rsid w:val="00273B9C"/>
    <w:rsid w:val="0027498E"/>
    <w:rsid w:val="00274DC8"/>
    <w:rsid w:val="002753A4"/>
    <w:rsid w:val="002756A5"/>
    <w:rsid w:val="0027571E"/>
    <w:rsid w:val="00275B5F"/>
    <w:rsid w:val="00276486"/>
    <w:rsid w:val="00276FB2"/>
    <w:rsid w:val="00277EC7"/>
    <w:rsid w:val="002808D5"/>
    <w:rsid w:val="00280D55"/>
    <w:rsid w:val="00281461"/>
    <w:rsid w:val="00281864"/>
    <w:rsid w:val="002822B1"/>
    <w:rsid w:val="002822DE"/>
    <w:rsid w:val="0028271A"/>
    <w:rsid w:val="00282FA1"/>
    <w:rsid w:val="0028304C"/>
    <w:rsid w:val="00283C51"/>
    <w:rsid w:val="00284874"/>
    <w:rsid w:val="00284B58"/>
    <w:rsid w:val="002853E8"/>
    <w:rsid w:val="002863D1"/>
    <w:rsid w:val="002870A3"/>
    <w:rsid w:val="0028757D"/>
    <w:rsid w:val="00287B58"/>
    <w:rsid w:val="00287F00"/>
    <w:rsid w:val="002917E6"/>
    <w:rsid w:val="00292688"/>
    <w:rsid w:val="00293D63"/>
    <w:rsid w:val="00293DB7"/>
    <w:rsid w:val="0029404D"/>
    <w:rsid w:val="002941E3"/>
    <w:rsid w:val="002948E4"/>
    <w:rsid w:val="0029507B"/>
    <w:rsid w:val="002953FE"/>
    <w:rsid w:val="00295B33"/>
    <w:rsid w:val="00296235"/>
    <w:rsid w:val="00296F52"/>
    <w:rsid w:val="00297315"/>
    <w:rsid w:val="002976EA"/>
    <w:rsid w:val="00297762"/>
    <w:rsid w:val="00297C8A"/>
    <w:rsid w:val="002A0D54"/>
    <w:rsid w:val="002A0D85"/>
    <w:rsid w:val="002A14AC"/>
    <w:rsid w:val="002A1C59"/>
    <w:rsid w:val="002A2AB8"/>
    <w:rsid w:val="002A3A02"/>
    <w:rsid w:val="002A3E6F"/>
    <w:rsid w:val="002A3F19"/>
    <w:rsid w:val="002A4108"/>
    <w:rsid w:val="002A5E12"/>
    <w:rsid w:val="002A5E66"/>
    <w:rsid w:val="002A68FA"/>
    <w:rsid w:val="002A69CB"/>
    <w:rsid w:val="002A6AEF"/>
    <w:rsid w:val="002A7494"/>
    <w:rsid w:val="002A7A18"/>
    <w:rsid w:val="002B0462"/>
    <w:rsid w:val="002B1254"/>
    <w:rsid w:val="002B456F"/>
    <w:rsid w:val="002B46EF"/>
    <w:rsid w:val="002B475D"/>
    <w:rsid w:val="002B4F9C"/>
    <w:rsid w:val="002B604F"/>
    <w:rsid w:val="002B630E"/>
    <w:rsid w:val="002B6C34"/>
    <w:rsid w:val="002C093E"/>
    <w:rsid w:val="002C0ABA"/>
    <w:rsid w:val="002C136C"/>
    <w:rsid w:val="002C1FAB"/>
    <w:rsid w:val="002C2371"/>
    <w:rsid w:val="002C2952"/>
    <w:rsid w:val="002C2B7B"/>
    <w:rsid w:val="002C320D"/>
    <w:rsid w:val="002C3DF8"/>
    <w:rsid w:val="002C3E00"/>
    <w:rsid w:val="002C3E28"/>
    <w:rsid w:val="002C3E85"/>
    <w:rsid w:val="002C4013"/>
    <w:rsid w:val="002C41D5"/>
    <w:rsid w:val="002C4A09"/>
    <w:rsid w:val="002C51E3"/>
    <w:rsid w:val="002C544C"/>
    <w:rsid w:val="002C5FC7"/>
    <w:rsid w:val="002C64EC"/>
    <w:rsid w:val="002C6D69"/>
    <w:rsid w:val="002C7226"/>
    <w:rsid w:val="002C7777"/>
    <w:rsid w:val="002D0664"/>
    <w:rsid w:val="002D13F1"/>
    <w:rsid w:val="002D1B0A"/>
    <w:rsid w:val="002D20CE"/>
    <w:rsid w:val="002D2344"/>
    <w:rsid w:val="002D2667"/>
    <w:rsid w:val="002D2F83"/>
    <w:rsid w:val="002D3514"/>
    <w:rsid w:val="002D3544"/>
    <w:rsid w:val="002D3D17"/>
    <w:rsid w:val="002D4027"/>
    <w:rsid w:val="002D4857"/>
    <w:rsid w:val="002D4C99"/>
    <w:rsid w:val="002D516F"/>
    <w:rsid w:val="002D64B9"/>
    <w:rsid w:val="002D65B9"/>
    <w:rsid w:val="002D7229"/>
    <w:rsid w:val="002D7F1E"/>
    <w:rsid w:val="002E0092"/>
    <w:rsid w:val="002E01BE"/>
    <w:rsid w:val="002E07F0"/>
    <w:rsid w:val="002E0B63"/>
    <w:rsid w:val="002E1645"/>
    <w:rsid w:val="002E1789"/>
    <w:rsid w:val="002E1C3D"/>
    <w:rsid w:val="002E1FAE"/>
    <w:rsid w:val="002E2BD3"/>
    <w:rsid w:val="002E2E03"/>
    <w:rsid w:val="002E2F24"/>
    <w:rsid w:val="002E372D"/>
    <w:rsid w:val="002E4D33"/>
    <w:rsid w:val="002E5163"/>
    <w:rsid w:val="002E5221"/>
    <w:rsid w:val="002E54CD"/>
    <w:rsid w:val="002E5F12"/>
    <w:rsid w:val="002E7DA2"/>
    <w:rsid w:val="002F094F"/>
    <w:rsid w:val="002F1095"/>
    <w:rsid w:val="002F1253"/>
    <w:rsid w:val="002F1DDB"/>
    <w:rsid w:val="002F3224"/>
    <w:rsid w:val="002F3426"/>
    <w:rsid w:val="002F478A"/>
    <w:rsid w:val="002F6486"/>
    <w:rsid w:val="002F67A4"/>
    <w:rsid w:val="002F6B43"/>
    <w:rsid w:val="002F7E2A"/>
    <w:rsid w:val="0030113E"/>
    <w:rsid w:val="00301207"/>
    <w:rsid w:val="00301877"/>
    <w:rsid w:val="00301A14"/>
    <w:rsid w:val="00301AEA"/>
    <w:rsid w:val="003020A4"/>
    <w:rsid w:val="003031CD"/>
    <w:rsid w:val="003035A2"/>
    <w:rsid w:val="003036CD"/>
    <w:rsid w:val="00303A7C"/>
    <w:rsid w:val="003045A5"/>
    <w:rsid w:val="00304C19"/>
    <w:rsid w:val="00305FCA"/>
    <w:rsid w:val="003066C3"/>
    <w:rsid w:val="00306852"/>
    <w:rsid w:val="003073EC"/>
    <w:rsid w:val="00307F0D"/>
    <w:rsid w:val="00307FC2"/>
    <w:rsid w:val="00310222"/>
    <w:rsid w:val="00310963"/>
    <w:rsid w:val="00311C8F"/>
    <w:rsid w:val="00311EBF"/>
    <w:rsid w:val="003120B1"/>
    <w:rsid w:val="00312332"/>
    <w:rsid w:val="00312BCF"/>
    <w:rsid w:val="0031352F"/>
    <w:rsid w:val="00313706"/>
    <w:rsid w:val="003148C0"/>
    <w:rsid w:val="00315442"/>
    <w:rsid w:val="00316A70"/>
    <w:rsid w:val="00317000"/>
    <w:rsid w:val="0032005D"/>
    <w:rsid w:val="00320424"/>
    <w:rsid w:val="00320A13"/>
    <w:rsid w:val="0032180C"/>
    <w:rsid w:val="00321D83"/>
    <w:rsid w:val="00321E69"/>
    <w:rsid w:val="0032239D"/>
    <w:rsid w:val="003228B7"/>
    <w:rsid w:val="00322AC2"/>
    <w:rsid w:val="00322D1F"/>
    <w:rsid w:val="0032375A"/>
    <w:rsid w:val="0032397B"/>
    <w:rsid w:val="00323F12"/>
    <w:rsid w:val="0032438E"/>
    <w:rsid w:val="00325AD4"/>
    <w:rsid w:val="00325BFD"/>
    <w:rsid w:val="00327580"/>
    <w:rsid w:val="00327ABD"/>
    <w:rsid w:val="00327D82"/>
    <w:rsid w:val="00327F90"/>
    <w:rsid w:val="00331A2E"/>
    <w:rsid w:val="00332244"/>
    <w:rsid w:val="00332AE8"/>
    <w:rsid w:val="003337D4"/>
    <w:rsid w:val="00333A53"/>
    <w:rsid w:val="003340C9"/>
    <w:rsid w:val="0033471C"/>
    <w:rsid w:val="0033495B"/>
    <w:rsid w:val="00335A94"/>
    <w:rsid w:val="003378B9"/>
    <w:rsid w:val="00337B19"/>
    <w:rsid w:val="003409BA"/>
    <w:rsid w:val="00340F08"/>
    <w:rsid w:val="00341500"/>
    <w:rsid w:val="00341BB2"/>
    <w:rsid w:val="00342553"/>
    <w:rsid w:val="00342DD9"/>
    <w:rsid w:val="00342FDF"/>
    <w:rsid w:val="00343B40"/>
    <w:rsid w:val="003445E0"/>
    <w:rsid w:val="00344608"/>
    <w:rsid w:val="003448B7"/>
    <w:rsid w:val="003450D1"/>
    <w:rsid w:val="0034549A"/>
    <w:rsid w:val="00345CAD"/>
    <w:rsid w:val="003465B2"/>
    <w:rsid w:val="003466F4"/>
    <w:rsid w:val="00346CF3"/>
    <w:rsid w:val="00347855"/>
    <w:rsid w:val="003502FC"/>
    <w:rsid w:val="00350402"/>
    <w:rsid w:val="0035066B"/>
    <w:rsid w:val="003509B6"/>
    <w:rsid w:val="00350C07"/>
    <w:rsid w:val="00352009"/>
    <w:rsid w:val="00352EF1"/>
    <w:rsid w:val="00352F85"/>
    <w:rsid w:val="0035338B"/>
    <w:rsid w:val="003536EA"/>
    <w:rsid w:val="00353C7E"/>
    <w:rsid w:val="003545B0"/>
    <w:rsid w:val="003557CC"/>
    <w:rsid w:val="0035581C"/>
    <w:rsid w:val="00356A09"/>
    <w:rsid w:val="00357C24"/>
    <w:rsid w:val="00357FF1"/>
    <w:rsid w:val="00360949"/>
    <w:rsid w:val="003609CA"/>
    <w:rsid w:val="00360E2E"/>
    <w:rsid w:val="00360F79"/>
    <w:rsid w:val="003612EA"/>
    <w:rsid w:val="003624BE"/>
    <w:rsid w:val="003628C1"/>
    <w:rsid w:val="0036396D"/>
    <w:rsid w:val="00364686"/>
    <w:rsid w:val="00365033"/>
    <w:rsid w:val="00370585"/>
    <w:rsid w:val="00370DC8"/>
    <w:rsid w:val="00371010"/>
    <w:rsid w:val="00371443"/>
    <w:rsid w:val="00371F76"/>
    <w:rsid w:val="00371F8B"/>
    <w:rsid w:val="0037200B"/>
    <w:rsid w:val="00372524"/>
    <w:rsid w:val="0037297A"/>
    <w:rsid w:val="003731DF"/>
    <w:rsid w:val="00373B80"/>
    <w:rsid w:val="00373E65"/>
    <w:rsid w:val="00373E87"/>
    <w:rsid w:val="00374032"/>
    <w:rsid w:val="003742FC"/>
    <w:rsid w:val="00376AD0"/>
    <w:rsid w:val="00376F0A"/>
    <w:rsid w:val="00377169"/>
    <w:rsid w:val="00377C05"/>
    <w:rsid w:val="003804BE"/>
    <w:rsid w:val="003810CE"/>
    <w:rsid w:val="003811E4"/>
    <w:rsid w:val="003812D2"/>
    <w:rsid w:val="00381331"/>
    <w:rsid w:val="00381574"/>
    <w:rsid w:val="003827EE"/>
    <w:rsid w:val="00382C74"/>
    <w:rsid w:val="00382DC3"/>
    <w:rsid w:val="00382F9A"/>
    <w:rsid w:val="00383AC3"/>
    <w:rsid w:val="00383D46"/>
    <w:rsid w:val="003847EC"/>
    <w:rsid w:val="003848F7"/>
    <w:rsid w:val="00384D86"/>
    <w:rsid w:val="00385699"/>
    <w:rsid w:val="0038626F"/>
    <w:rsid w:val="003874E8"/>
    <w:rsid w:val="00387678"/>
    <w:rsid w:val="00390061"/>
    <w:rsid w:val="003900F9"/>
    <w:rsid w:val="003902E9"/>
    <w:rsid w:val="003903DA"/>
    <w:rsid w:val="00390E9E"/>
    <w:rsid w:val="003913CA"/>
    <w:rsid w:val="00392642"/>
    <w:rsid w:val="00392AD2"/>
    <w:rsid w:val="00392BC6"/>
    <w:rsid w:val="00392E61"/>
    <w:rsid w:val="003932E3"/>
    <w:rsid w:val="0039340B"/>
    <w:rsid w:val="00393749"/>
    <w:rsid w:val="00394607"/>
    <w:rsid w:val="003949BC"/>
    <w:rsid w:val="00394ACB"/>
    <w:rsid w:val="00394D73"/>
    <w:rsid w:val="003952B3"/>
    <w:rsid w:val="003953AF"/>
    <w:rsid w:val="00395523"/>
    <w:rsid w:val="0039566C"/>
    <w:rsid w:val="00395821"/>
    <w:rsid w:val="00395F2D"/>
    <w:rsid w:val="0039681C"/>
    <w:rsid w:val="00396C4E"/>
    <w:rsid w:val="00396DAE"/>
    <w:rsid w:val="0039754E"/>
    <w:rsid w:val="00397A5F"/>
    <w:rsid w:val="003A0E25"/>
    <w:rsid w:val="003A251F"/>
    <w:rsid w:val="003A2920"/>
    <w:rsid w:val="003A3191"/>
    <w:rsid w:val="003A43B0"/>
    <w:rsid w:val="003A4848"/>
    <w:rsid w:val="003A48E0"/>
    <w:rsid w:val="003A4C56"/>
    <w:rsid w:val="003A4CA3"/>
    <w:rsid w:val="003A4D16"/>
    <w:rsid w:val="003A4DDF"/>
    <w:rsid w:val="003A4F1A"/>
    <w:rsid w:val="003A50F4"/>
    <w:rsid w:val="003A617E"/>
    <w:rsid w:val="003A7219"/>
    <w:rsid w:val="003A7616"/>
    <w:rsid w:val="003A7A83"/>
    <w:rsid w:val="003B05CF"/>
    <w:rsid w:val="003B11C1"/>
    <w:rsid w:val="003B15D0"/>
    <w:rsid w:val="003B1640"/>
    <w:rsid w:val="003B18C1"/>
    <w:rsid w:val="003B3087"/>
    <w:rsid w:val="003B332B"/>
    <w:rsid w:val="003B33C2"/>
    <w:rsid w:val="003B3610"/>
    <w:rsid w:val="003B400B"/>
    <w:rsid w:val="003B436E"/>
    <w:rsid w:val="003B5880"/>
    <w:rsid w:val="003B5D9B"/>
    <w:rsid w:val="003B5DA9"/>
    <w:rsid w:val="003B6767"/>
    <w:rsid w:val="003B6E41"/>
    <w:rsid w:val="003B788C"/>
    <w:rsid w:val="003C110D"/>
    <w:rsid w:val="003C27C9"/>
    <w:rsid w:val="003C2A2D"/>
    <w:rsid w:val="003C2D7E"/>
    <w:rsid w:val="003C32E9"/>
    <w:rsid w:val="003C3F6E"/>
    <w:rsid w:val="003C43D5"/>
    <w:rsid w:val="003C498A"/>
    <w:rsid w:val="003C4D60"/>
    <w:rsid w:val="003C5701"/>
    <w:rsid w:val="003C5E57"/>
    <w:rsid w:val="003C72CE"/>
    <w:rsid w:val="003D0588"/>
    <w:rsid w:val="003D2B56"/>
    <w:rsid w:val="003D3D08"/>
    <w:rsid w:val="003D4052"/>
    <w:rsid w:val="003D458B"/>
    <w:rsid w:val="003D466F"/>
    <w:rsid w:val="003D4792"/>
    <w:rsid w:val="003D493C"/>
    <w:rsid w:val="003D5CC6"/>
    <w:rsid w:val="003D5DAD"/>
    <w:rsid w:val="003D61EA"/>
    <w:rsid w:val="003D6596"/>
    <w:rsid w:val="003D67E8"/>
    <w:rsid w:val="003D6AF4"/>
    <w:rsid w:val="003D72CF"/>
    <w:rsid w:val="003E0730"/>
    <w:rsid w:val="003E098F"/>
    <w:rsid w:val="003E0AD6"/>
    <w:rsid w:val="003E276F"/>
    <w:rsid w:val="003E3BC0"/>
    <w:rsid w:val="003E3DB1"/>
    <w:rsid w:val="003E510F"/>
    <w:rsid w:val="003E57C7"/>
    <w:rsid w:val="003E5F86"/>
    <w:rsid w:val="003E6E7D"/>
    <w:rsid w:val="003E70D1"/>
    <w:rsid w:val="003E7239"/>
    <w:rsid w:val="003E7F69"/>
    <w:rsid w:val="003F025F"/>
    <w:rsid w:val="003F05A3"/>
    <w:rsid w:val="003F089B"/>
    <w:rsid w:val="003F16FC"/>
    <w:rsid w:val="003F2985"/>
    <w:rsid w:val="003F3170"/>
    <w:rsid w:val="003F34DB"/>
    <w:rsid w:val="003F4174"/>
    <w:rsid w:val="003F4586"/>
    <w:rsid w:val="003F46D5"/>
    <w:rsid w:val="003F4B4E"/>
    <w:rsid w:val="003F664D"/>
    <w:rsid w:val="003F6A3B"/>
    <w:rsid w:val="003F6D2E"/>
    <w:rsid w:val="003F6F5E"/>
    <w:rsid w:val="003F7B70"/>
    <w:rsid w:val="00400082"/>
    <w:rsid w:val="0040152A"/>
    <w:rsid w:val="00401CBE"/>
    <w:rsid w:val="004024EA"/>
    <w:rsid w:val="00402B54"/>
    <w:rsid w:val="00402C3E"/>
    <w:rsid w:val="00402D95"/>
    <w:rsid w:val="004030EC"/>
    <w:rsid w:val="004035E0"/>
    <w:rsid w:val="00403C48"/>
    <w:rsid w:val="00404E1B"/>
    <w:rsid w:val="00405D1F"/>
    <w:rsid w:val="00405F67"/>
    <w:rsid w:val="0040602B"/>
    <w:rsid w:val="0040670B"/>
    <w:rsid w:val="00407490"/>
    <w:rsid w:val="00407CA5"/>
    <w:rsid w:val="00407E89"/>
    <w:rsid w:val="00410927"/>
    <w:rsid w:val="004119DF"/>
    <w:rsid w:val="0041274E"/>
    <w:rsid w:val="004136A4"/>
    <w:rsid w:val="004137AD"/>
    <w:rsid w:val="00413F3E"/>
    <w:rsid w:val="00414B73"/>
    <w:rsid w:val="0041743E"/>
    <w:rsid w:val="00417E3A"/>
    <w:rsid w:val="004200A5"/>
    <w:rsid w:val="004208E7"/>
    <w:rsid w:val="004209BC"/>
    <w:rsid w:val="00420C52"/>
    <w:rsid w:val="004214C1"/>
    <w:rsid w:val="00421D9E"/>
    <w:rsid w:val="00422128"/>
    <w:rsid w:val="004227E0"/>
    <w:rsid w:val="00422B84"/>
    <w:rsid w:val="00422D91"/>
    <w:rsid w:val="0042391B"/>
    <w:rsid w:val="0042487D"/>
    <w:rsid w:val="00425435"/>
    <w:rsid w:val="0042569A"/>
    <w:rsid w:val="00426586"/>
    <w:rsid w:val="004302D7"/>
    <w:rsid w:val="004313DA"/>
    <w:rsid w:val="004328D7"/>
    <w:rsid w:val="00432D69"/>
    <w:rsid w:val="00432F4C"/>
    <w:rsid w:val="00433243"/>
    <w:rsid w:val="00433BCE"/>
    <w:rsid w:val="00434091"/>
    <w:rsid w:val="00434498"/>
    <w:rsid w:val="0043458E"/>
    <w:rsid w:val="00435B7F"/>
    <w:rsid w:val="00436506"/>
    <w:rsid w:val="00436BB2"/>
    <w:rsid w:val="004402C9"/>
    <w:rsid w:val="004409EE"/>
    <w:rsid w:val="00440B8E"/>
    <w:rsid w:val="00440F48"/>
    <w:rsid w:val="00441611"/>
    <w:rsid w:val="004418F3"/>
    <w:rsid w:val="00441B04"/>
    <w:rsid w:val="004427B4"/>
    <w:rsid w:val="0044307E"/>
    <w:rsid w:val="00444256"/>
    <w:rsid w:val="004447CE"/>
    <w:rsid w:val="00444A8E"/>
    <w:rsid w:val="00445C24"/>
    <w:rsid w:val="00445EDD"/>
    <w:rsid w:val="00446B88"/>
    <w:rsid w:val="00447CDF"/>
    <w:rsid w:val="004508CC"/>
    <w:rsid w:val="0045197A"/>
    <w:rsid w:val="00451A50"/>
    <w:rsid w:val="00451EEF"/>
    <w:rsid w:val="00452051"/>
    <w:rsid w:val="00452414"/>
    <w:rsid w:val="0045301F"/>
    <w:rsid w:val="00453D8A"/>
    <w:rsid w:val="00453E95"/>
    <w:rsid w:val="004546DF"/>
    <w:rsid w:val="00455799"/>
    <w:rsid w:val="00455867"/>
    <w:rsid w:val="00456A78"/>
    <w:rsid w:val="00456E24"/>
    <w:rsid w:val="00456E7C"/>
    <w:rsid w:val="004573E7"/>
    <w:rsid w:val="004578EF"/>
    <w:rsid w:val="004606FC"/>
    <w:rsid w:val="00460EF6"/>
    <w:rsid w:val="004613E0"/>
    <w:rsid w:val="00461D82"/>
    <w:rsid w:val="0046207A"/>
    <w:rsid w:val="00463B52"/>
    <w:rsid w:val="00464A0D"/>
    <w:rsid w:val="004652E9"/>
    <w:rsid w:val="00465517"/>
    <w:rsid w:val="00465C02"/>
    <w:rsid w:val="004664C3"/>
    <w:rsid w:val="00470DA3"/>
    <w:rsid w:val="00473F3A"/>
    <w:rsid w:val="00474966"/>
    <w:rsid w:val="00474AC1"/>
    <w:rsid w:val="004751BE"/>
    <w:rsid w:val="0047591D"/>
    <w:rsid w:val="00476240"/>
    <w:rsid w:val="00476338"/>
    <w:rsid w:val="0047741C"/>
    <w:rsid w:val="00477D0E"/>
    <w:rsid w:val="00477DAB"/>
    <w:rsid w:val="0048068B"/>
    <w:rsid w:val="00480B6D"/>
    <w:rsid w:val="00480F90"/>
    <w:rsid w:val="0048298D"/>
    <w:rsid w:val="0048350C"/>
    <w:rsid w:val="004839A3"/>
    <w:rsid w:val="00483BBA"/>
    <w:rsid w:val="004851D4"/>
    <w:rsid w:val="004851E9"/>
    <w:rsid w:val="00485257"/>
    <w:rsid w:val="00485579"/>
    <w:rsid w:val="00485BBE"/>
    <w:rsid w:val="00485D94"/>
    <w:rsid w:val="00486662"/>
    <w:rsid w:val="00486EB6"/>
    <w:rsid w:val="0048704B"/>
    <w:rsid w:val="0049012B"/>
    <w:rsid w:val="0049239F"/>
    <w:rsid w:val="00492EF7"/>
    <w:rsid w:val="00493F0E"/>
    <w:rsid w:val="00494F6B"/>
    <w:rsid w:val="00495039"/>
    <w:rsid w:val="004959F7"/>
    <w:rsid w:val="00495E31"/>
    <w:rsid w:val="00495F7D"/>
    <w:rsid w:val="00496384"/>
    <w:rsid w:val="0049695A"/>
    <w:rsid w:val="00496F1C"/>
    <w:rsid w:val="00497880"/>
    <w:rsid w:val="004A006E"/>
    <w:rsid w:val="004A18F6"/>
    <w:rsid w:val="004A1FF7"/>
    <w:rsid w:val="004A24E5"/>
    <w:rsid w:val="004A27E9"/>
    <w:rsid w:val="004A3202"/>
    <w:rsid w:val="004A42C6"/>
    <w:rsid w:val="004A44D0"/>
    <w:rsid w:val="004A4AC5"/>
    <w:rsid w:val="004A52A6"/>
    <w:rsid w:val="004A5A0F"/>
    <w:rsid w:val="004A5B11"/>
    <w:rsid w:val="004A6945"/>
    <w:rsid w:val="004A6E67"/>
    <w:rsid w:val="004A7DA5"/>
    <w:rsid w:val="004A7F9B"/>
    <w:rsid w:val="004B176D"/>
    <w:rsid w:val="004B1DEB"/>
    <w:rsid w:val="004B2A1B"/>
    <w:rsid w:val="004B2DE4"/>
    <w:rsid w:val="004B34A5"/>
    <w:rsid w:val="004B3BCF"/>
    <w:rsid w:val="004B3CBA"/>
    <w:rsid w:val="004B433C"/>
    <w:rsid w:val="004B44A4"/>
    <w:rsid w:val="004B44D1"/>
    <w:rsid w:val="004B4888"/>
    <w:rsid w:val="004B4C72"/>
    <w:rsid w:val="004B6A57"/>
    <w:rsid w:val="004B6A77"/>
    <w:rsid w:val="004B7ABA"/>
    <w:rsid w:val="004B7B6A"/>
    <w:rsid w:val="004C0CA4"/>
    <w:rsid w:val="004C0D86"/>
    <w:rsid w:val="004C0FF8"/>
    <w:rsid w:val="004C238B"/>
    <w:rsid w:val="004C29CA"/>
    <w:rsid w:val="004C331C"/>
    <w:rsid w:val="004C4455"/>
    <w:rsid w:val="004C45F0"/>
    <w:rsid w:val="004C4949"/>
    <w:rsid w:val="004C54CA"/>
    <w:rsid w:val="004C5FB3"/>
    <w:rsid w:val="004C6760"/>
    <w:rsid w:val="004C6D12"/>
    <w:rsid w:val="004C725F"/>
    <w:rsid w:val="004C730C"/>
    <w:rsid w:val="004C79AA"/>
    <w:rsid w:val="004C7B41"/>
    <w:rsid w:val="004C7E72"/>
    <w:rsid w:val="004D0C01"/>
    <w:rsid w:val="004D0F50"/>
    <w:rsid w:val="004D1B68"/>
    <w:rsid w:val="004D1EDC"/>
    <w:rsid w:val="004D204F"/>
    <w:rsid w:val="004D218F"/>
    <w:rsid w:val="004D2CCA"/>
    <w:rsid w:val="004D3B42"/>
    <w:rsid w:val="004D434B"/>
    <w:rsid w:val="004D47E9"/>
    <w:rsid w:val="004D4821"/>
    <w:rsid w:val="004D4B0A"/>
    <w:rsid w:val="004D4B91"/>
    <w:rsid w:val="004D504D"/>
    <w:rsid w:val="004D5E6F"/>
    <w:rsid w:val="004D6F62"/>
    <w:rsid w:val="004D6FE9"/>
    <w:rsid w:val="004D71B8"/>
    <w:rsid w:val="004E07BB"/>
    <w:rsid w:val="004E19DA"/>
    <w:rsid w:val="004E20D1"/>
    <w:rsid w:val="004E23D5"/>
    <w:rsid w:val="004E2FCC"/>
    <w:rsid w:val="004E321F"/>
    <w:rsid w:val="004E3732"/>
    <w:rsid w:val="004E4012"/>
    <w:rsid w:val="004E4CA3"/>
    <w:rsid w:val="004E5A8C"/>
    <w:rsid w:val="004E6243"/>
    <w:rsid w:val="004E653A"/>
    <w:rsid w:val="004E6BA2"/>
    <w:rsid w:val="004E6C93"/>
    <w:rsid w:val="004E7B22"/>
    <w:rsid w:val="004E7BBC"/>
    <w:rsid w:val="004F026D"/>
    <w:rsid w:val="004F091E"/>
    <w:rsid w:val="004F0A16"/>
    <w:rsid w:val="004F0D4C"/>
    <w:rsid w:val="004F1596"/>
    <w:rsid w:val="004F15C8"/>
    <w:rsid w:val="004F4C0D"/>
    <w:rsid w:val="004F5350"/>
    <w:rsid w:val="004F546A"/>
    <w:rsid w:val="004F586B"/>
    <w:rsid w:val="004F6653"/>
    <w:rsid w:val="004F6B36"/>
    <w:rsid w:val="004F72D8"/>
    <w:rsid w:val="004F737D"/>
    <w:rsid w:val="004F76AD"/>
    <w:rsid w:val="0050057D"/>
    <w:rsid w:val="00500628"/>
    <w:rsid w:val="0050171B"/>
    <w:rsid w:val="00501E4F"/>
    <w:rsid w:val="00501FF3"/>
    <w:rsid w:val="0050228B"/>
    <w:rsid w:val="00503E18"/>
    <w:rsid w:val="005042C4"/>
    <w:rsid w:val="00504727"/>
    <w:rsid w:val="00507557"/>
    <w:rsid w:val="005078CE"/>
    <w:rsid w:val="0051052A"/>
    <w:rsid w:val="00510916"/>
    <w:rsid w:val="00512114"/>
    <w:rsid w:val="00512A0E"/>
    <w:rsid w:val="00512D1C"/>
    <w:rsid w:val="00512E53"/>
    <w:rsid w:val="005132C0"/>
    <w:rsid w:val="00513501"/>
    <w:rsid w:val="0051359B"/>
    <w:rsid w:val="00513AA2"/>
    <w:rsid w:val="00514DF2"/>
    <w:rsid w:val="0051504F"/>
    <w:rsid w:val="00515B56"/>
    <w:rsid w:val="005163BD"/>
    <w:rsid w:val="005165EB"/>
    <w:rsid w:val="00516836"/>
    <w:rsid w:val="0051690D"/>
    <w:rsid w:val="0051696A"/>
    <w:rsid w:val="00516C76"/>
    <w:rsid w:val="00516D0C"/>
    <w:rsid w:val="005177BF"/>
    <w:rsid w:val="00517BC6"/>
    <w:rsid w:val="00517E32"/>
    <w:rsid w:val="00520D5D"/>
    <w:rsid w:val="0052117F"/>
    <w:rsid w:val="00521BBC"/>
    <w:rsid w:val="005222A8"/>
    <w:rsid w:val="0052252A"/>
    <w:rsid w:val="005228DA"/>
    <w:rsid w:val="00522B60"/>
    <w:rsid w:val="00523334"/>
    <w:rsid w:val="00523A01"/>
    <w:rsid w:val="00523B77"/>
    <w:rsid w:val="00524142"/>
    <w:rsid w:val="00524839"/>
    <w:rsid w:val="0052491E"/>
    <w:rsid w:val="00524E2C"/>
    <w:rsid w:val="00525292"/>
    <w:rsid w:val="00525369"/>
    <w:rsid w:val="00525FCA"/>
    <w:rsid w:val="00526041"/>
    <w:rsid w:val="0052608B"/>
    <w:rsid w:val="00526154"/>
    <w:rsid w:val="005263D5"/>
    <w:rsid w:val="0052704A"/>
    <w:rsid w:val="0052791F"/>
    <w:rsid w:val="00531F80"/>
    <w:rsid w:val="00532B79"/>
    <w:rsid w:val="0053308A"/>
    <w:rsid w:val="00533100"/>
    <w:rsid w:val="00535881"/>
    <w:rsid w:val="0053606A"/>
    <w:rsid w:val="005377CC"/>
    <w:rsid w:val="00540061"/>
    <w:rsid w:val="0054055E"/>
    <w:rsid w:val="005411A6"/>
    <w:rsid w:val="00542192"/>
    <w:rsid w:val="005421FD"/>
    <w:rsid w:val="005432DD"/>
    <w:rsid w:val="00544EB3"/>
    <w:rsid w:val="00546EA5"/>
    <w:rsid w:val="00547794"/>
    <w:rsid w:val="005500B2"/>
    <w:rsid w:val="005522D8"/>
    <w:rsid w:val="0055251C"/>
    <w:rsid w:val="00552A11"/>
    <w:rsid w:val="005536B0"/>
    <w:rsid w:val="00553EA4"/>
    <w:rsid w:val="00554472"/>
    <w:rsid w:val="00554FCF"/>
    <w:rsid w:val="00555290"/>
    <w:rsid w:val="00555709"/>
    <w:rsid w:val="005563B7"/>
    <w:rsid w:val="00556980"/>
    <w:rsid w:val="005579D5"/>
    <w:rsid w:val="00557AAE"/>
    <w:rsid w:val="00560204"/>
    <w:rsid w:val="005605FD"/>
    <w:rsid w:val="0056098A"/>
    <w:rsid w:val="00560BF1"/>
    <w:rsid w:val="00560CA3"/>
    <w:rsid w:val="005612BA"/>
    <w:rsid w:val="005615E7"/>
    <w:rsid w:val="005619D3"/>
    <w:rsid w:val="00561C00"/>
    <w:rsid w:val="005629FD"/>
    <w:rsid w:val="00562E48"/>
    <w:rsid w:val="00563283"/>
    <w:rsid w:val="005635C9"/>
    <w:rsid w:val="00563A73"/>
    <w:rsid w:val="00564EDE"/>
    <w:rsid w:val="0056573E"/>
    <w:rsid w:val="00566303"/>
    <w:rsid w:val="0056641D"/>
    <w:rsid w:val="00566779"/>
    <w:rsid w:val="005671FD"/>
    <w:rsid w:val="00572060"/>
    <w:rsid w:val="00572CD0"/>
    <w:rsid w:val="00572EAA"/>
    <w:rsid w:val="00572ECC"/>
    <w:rsid w:val="005730C6"/>
    <w:rsid w:val="005734D8"/>
    <w:rsid w:val="00573660"/>
    <w:rsid w:val="00574101"/>
    <w:rsid w:val="00574FCB"/>
    <w:rsid w:val="00575AD7"/>
    <w:rsid w:val="00576FAB"/>
    <w:rsid w:val="005773DA"/>
    <w:rsid w:val="005777BF"/>
    <w:rsid w:val="00577DE1"/>
    <w:rsid w:val="005802EE"/>
    <w:rsid w:val="00581205"/>
    <w:rsid w:val="005818BD"/>
    <w:rsid w:val="00581FBC"/>
    <w:rsid w:val="00582A93"/>
    <w:rsid w:val="00582B8E"/>
    <w:rsid w:val="0058300B"/>
    <w:rsid w:val="0058339E"/>
    <w:rsid w:val="0058343B"/>
    <w:rsid w:val="00583FAE"/>
    <w:rsid w:val="005845F3"/>
    <w:rsid w:val="0058522F"/>
    <w:rsid w:val="005867C1"/>
    <w:rsid w:val="005868BC"/>
    <w:rsid w:val="005873C2"/>
    <w:rsid w:val="005874EA"/>
    <w:rsid w:val="00590927"/>
    <w:rsid w:val="005917D0"/>
    <w:rsid w:val="00591C38"/>
    <w:rsid w:val="00592203"/>
    <w:rsid w:val="005924F4"/>
    <w:rsid w:val="00592698"/>
    <w:rsid w:val="00592BF5"/>
    <w:rsid w:val="00592C74"/>
    <w:rsid w:val="00594080"/>
    <w:rsid w:val="00595591"/>
    <w:rsid w:val="005966E2"/>
    <w:rsid w:val="005975EF"/>
    <w:rsid w:val="005A07C1"/>
    <w:rsid w:val="005A0E3B"/>
    <w:rsid w:val="005A1828"/>
    <w:rsid w:val="005A1AA8"/>
    <w:rsid w:val="005A2132"/>
    <w:rsid w:val="005A41EC"/>
    <w:rsid w:val="005A4455"/>
    <w:rsid w:val="005A4805"/>
    <w:rsid w:val="005A4A2C"/>
    <w:rsid w:val="005A51A8"/>
    <w:rsid w:val="005A522E"/>
    <w:rsid w:val="005A5381"/>
    <w:rsid w:val="005A6446"/>
    <w:rsid w:val="005B02F2"/>
    <w:rsid w:val="005B09F0"/>
    <w:rsid w:val="005B1314"/>
    <w:rsid w:val="005B1F4C"/>
    <w:rsid w:val="005B2A0C"/>
    <w:rsid w:val="005B2A42"/>
    <w:rsid w:val="005B39E7"/>
    <w:rsid w:val="005B4779"/>
    <w:rsid w:val="005B4EAF"/>
    <w:rsid w:val="005B593C"/>
    <w:rsid w:val="005B59F6"/>
    <w:rsid w:val="005B5E37"/>
    <w:rsid w:val="005B5F90"/>
    <w:rsid w:val="005B6389"/>
    <w:rsid w:val="005C18E5"/>
    <w:rsid w:val="005C2538"/>
    <w:rsid w:val="005C2E83"/>
    <w:rsid w:val="005C32AA"/>
    <w:rsid w:val="005C350A"/>
    <w:rsid w:val="005C4DF5"/>
    <w:rsid w:val="005C570B"/>
    <w:rsid w:val="005C59CF"/>
    <w:rsid w:val="005C669F"/>
    <w:rsid w:val="005C6795"/>
    <w:rsid w:val="005C69A5"/>
    <w:rsid w:val="005C6D4D"/>
    <w:rsid w:val="005C7327"/>
    <w:rsid w:val="005D03C4"/>
    <w:rsid w:val="005D092B"/>
    <w:rsid w:val="005D0B8D"/>
    <w:rsid w:val="005D0C7E"/>
    <w:rsid w:val="005D0D8A"/>
    <w:rsid w:val="005D31AF"/>
    <w:rsid w:val="005D35BF"/>
    <w:rsid w:val="005D3909"/>
    <w:rsid w:val="005D3C3A"/>
    <w:rsid w:val="005D3EAD"/>
    <w:rsid w:val="005D45EB"/>
    <w:rsid w:val="005D6118"/>
    <w:rsid w:val="005D62CA"/>
    <w:rsid w:val="005D72EB"/>
    <w:rsid w:val="005D7312"/>
    <w:rsid w:val="005D742B"/>
    <w:rsid w:val="005D7C0F"/>
    <w:rsid w:val="005E0087"/>
    <w:rsid w:val="005E067C"/>
    <w:rsid w:val="005E076B"/>
    <w:rsid w:val="005E3672"/>
    <w:rsid w:val="005E40EA"/>
    <w:rsid w:val="005E464A"/>
    <w:rsid w:val="005E491D"/>
    <w:rsid w:val="005E4F64"/>
    <w:rsid w:val="005E591D"/>
    <w:rsid w:val="005E5B51"/>
    <w:rsid w:val="005E6423"/>
    <w:rsid w:val="005E64EA"/>
    <w:rsid w:val="005E6899"/>
    <w:rsid w:val="005E6A9F"/>
    <w:rsid w:val="005E6D03"/>
    <w:rsid w:val="005E6E00"/>
    <w:rsid w:val="005E7251"/>
    <w:rsid w:val="005E75DC"/>
    <w:rsid w:val="005E7821"/>
    <w:rsid w:val="005E7C1F"/>
    <w:rsid w:val="005E7E8E"/>
    <w:rsid w:val="005F02BC"/>
    <w:rsid w:val="005F12EF"/>
    <w:rsid w:val="005F169D"/>
    <w:rsid w:val="005F1A46"/>
    <w:rsid w:val="005F26FC"/>
    <w:rsid w:val="005F2B61"/>
    <w:rsid w:val="005F4107"/>
    <w:rsid w:val="005F5344"/>
    <w:rsid w:val="005F5750"/>
    <w:rsid w:val="005F58BA"/>
    <w:rsid w:val="005F741C"/>
    <w:rsid w:val="00600417"/>
    <w:rsid w:val="00600AC1"/>
    <w:rsid w:val="0060132D"/>
    <w:rsid w:val="00601336"/>
    <w:rsid w:val="00601725"/>
    <w:rsid w:val="00601F58"/>
    <w:rsid w:val="006024B3"/>
    <w:rsid w:val="006032C6"/>
    <w:rsid w:val="006032F0"/>
    <w:rsid w:val="00603565"/>
    <w:rsid w:val="0060404E"/>
    <w:rsid w:val="006040BC"/>
    <w:rsid w:val="00605168"/>
    <w:rsid w:val="006057B7"/>
    <w:rsid w:val="00605B49"/>
    <w:rsid w:val="00605DB8"/>
    <w:rsid w:val="00606CF1"/>
    <w:rsid w:val="0060715D"/>
    <w:rsid w:val="00610BAB"/>
    <w:rsid w:val="00610DAF"/>
    <w:rsid w:val="006114DE"/>
    <w:rsid w:val="006116CF"/>
    <w:rsid w:val="00612545"/>
    <w:rsid w:val="00613207"/>
    <w:rsid w:val="006134C0"/>
    <w:rsid w:val="006139FD"/>
    <w:rsid w:val="00615011"/>
    <w:rsid w:val="00615748"/>
    <w:rsid w:val="00615957"/>
    <w:rsid w:val="00616928"/>
    <w:rsid w:val="00620B34"/>
    <w:rsid w:val="00620FBA"/>
    <w:rsid w:val="00624112"/>
    <w:rsid w:val="006247C9"/>
    <w:rsid w:val="00625115"/>
    <w:rsid w:val="0062578B"/>
    <w:rsid w:val="00625E97"/>
    <w:rsid w:val="0062620C"/>
    <w:rsid w:val="0062703E"/>
    <w:rsid w:val="00627712"/>
    <w:rsid w:val="00627C0A"/>
    <w:rsid w:val="006304E1"/>
    <w:rsid w:val="00630A77"/>
    <w:rsid w:val="00631725"/>
    <w:rsid w:val="00632157"/>
    <w:rsid w:val="00633432"/>
    <w:rsid w:val="006339FE"/>
    <w:rsid w:val="00633D2B"/>
    <w:rsid w:val="006342ED"/>
    <w:rsid w:val="00634427"/>
    <w:rsid w:val="0063450A"/>
    <w:rsid w:val="00634B21"/>
    <w:rsid w:val="00634EC7"/>
    <w:rsid w:val="00635063"/>
    <w:rsid w:val="0063510A"/>
    <w:rsid w:val="00635355"/>
    <w:rsid w:val="00636E67"/>
    <w:rsid w:val="00637AAD"/>
    <w:rsid w:val="00640211"/>
    <w:rsid w:val="00640341"/>
    <w:rsid w:val="006408B5"/>
    <w:rsid w:val="00640E92"/>
    <w:rsid w:val="0064112B"/>
    <w:rsid w:val="00641CE7"/>
    <w:rsid w:val="00641FA8"/>
    <w:rsid w:val="006424FC"/>
    <w:rsid w:val="006431A5"/>
    <w:rsid w:val="00643235"/>
    <w:rsid w:val="00643395"/>
    <w:rsid w:val="00643869"/>
    <w:rsid w:val="006438BA"/>
    <w:rsid w:val="00643B1E"/>
    <w:rsid w:val="0064435F"/>
    <w:rsid w:val="00644B6D"/>
    <w:rsid w:val="00645F26"/>
    <w:rsid w:val="006463E9"/>
    <w:rsid w:val="00646B82"/>
    <w:rsid w:val="00647F18"/>
    <w:rsid w:val="00651318"/>
    <w:rsid w:val="00651B9F"/>
    <w:rsid w:val="00651C30"/>
    <w:rsid w:val="00652540"/>
    <w:rsid w:val="00653A1D"/>
    <w:rsid w:val="006546A6"/>
    <w:rsid w:val="00655AF9"/>
    <w:rsid w:val="006561E4"/>
    <w:rsid w:val="00656978"/>
    <w:rsid w:val="00656FD1"/>
    <w:rsid w:val="006600B3"/>
    <w:rsid w:val="00660223"/>
    <w:rsid w:val="00660DB4"/>
    <w:rsid w:val="00662D0F"/>
    <w:rsid w:val="00663248"/>
    <w:rsid w:val="00663469"/>
    <w:rsid w:val="00665973"/>
    <w:rsid w:val="00665C19"/>
    <w:rsid w:val="00665C58"/>
    <w:rsid w:val="00665CF5"/>
    <w:rsid w:val="006661A6"/>
    <w:rsid w:val="00667D9D"/>
    <w:rsid w:val="006700DA"/>
    <w:rsid w:val="00671743"/>
    <w:rsid w:val="006734FB"/>
    <w:rsid w:val="00673D62"/>
    <w:rsid w:val="00673E86"/>
    <w:rsid w:val="00674545"/>
    <w:rsid w:val="00674A22"/>
    <w:rsid w:val="0067533B"/>
    <w:rsid w:val="00675345"/>
    <w:rsid w:val="006755B6"/>
    <w:rsid w:val="0067594A"/>
    <w:rsid w:val="00676E75"/>
    <w:rsid w:val="00676F17"/>
    <w:rsid w:val="006776FB"/>
    <w:rsid w:val="00677758"/>
    <w:rsid w:val="00682061"/>
    <w:rsid w:val="00682BAF"/>
    <w:rsid w:val="0068392B"/>
    <w:rsid w:val="006839F1"/>
    <w:rsid w:val="00683E5E"/>
    <w:rsid w:val="006847B2"/>
    <w:rsid w:val="00686DC5"/>
    <w:rsid w:val="00686EFB"/>
    <w:rsid w:val="00687063"/>
    <w:rsid w:val="00687884"/>
    <w:rsid w:val="00691A4D"/>
    <w:rsid w:val="006928EA"/>
    <w:rsid w:val="0069352D"/>
    <w:rsid w:val="00693735"/>
    <w:rsid w:val="006938C0"/>
    <w:rsid w:val="00694FBF"/>
    <w:rsid w:val="00695FC6"/>
    <w:rsid w:val="00696B45"/>
    <w:rsid w:val="006A0865"/>
    <w:rsid w:val="006A0F54"/>
    <w:rsid w:val="006A13CC"/>
    <w:rsid w:val="006A16D3"/>
    <w:rsid w:val="006A214D"/>
    <w:rsid w:val="006A457A"/>
    <w:rsid w:val="006A4E48"/>
    <w:rsid w:val="006A52CA"/>
    <w:rsid w:val="006A54BB"/>
    <w:rsid w:val="006A64AC"/>
    <w:rsid w:val="006A6C10"/>
    <w:rsid w:val="006A7B55"/>
    <w:rsid w:val="006B0975"/>
    <w:rsid w:val="006B0DCE"/>
    <w:rsid w:val="006B284D"/>
    <w:rsid w:val="006B2A19"/>
    <w:rsid w:val="006B2ACB"/>
    <w:rsid w:val="006B3117"/>
    <w:rsid w:val="006B31A4"/>
    <w:rsid w:val="006B51D7"/>
    <w:rsid w:val="006B5576"/>
    <w:rsid w:val="006B5E1E"/>
    <w:rsid w:val="006B65C7"/>
    <w:rsid w:val="006B66A3"/>
    <w:rsid w:val="006B6865"/>
    <w:rsid w:val="006B7313"/>
    <w:rsid w:val="006B7E7B"/>
    <w:rsid w:val="006C0E8F"/>
    <w:rsid w:val="006C0F08"/>
    <w:rsid w:val="006C114E"/>
    <w:rsid w:val="006C22D5"/>
    <w:rsid w:val="006C2CA6"/>
    <w:rsid w:val="006C3465"/>
    <w:rsid w:val="006C4183"/>
    <w:rsid w:val="006C430B"/>
    <w:rsid w:val="006C468F"/>
    <w:rsid w:val="006C66AC"/>
    <w:rsid w:val="006C6D50"/>
    <w:rsid w:val="006C70B7"/>
    <w:rsid w:val="006C74CB"/>
    <w:rsid w:val="006C77B1"/>
    <w:rsid w:val="006C7B96"/>
    <w:rsid w:val="006D06DB"/>
    <w:rsid w:val="006D0CA4"/>
    <w:rsid w:val="006D0FC4"/>
    <w:rsid w:val="006D1ADA"/>
    <w:rsid w:val="006D247A"/>
    <w:rsid w:val="006D2A49"/>
    <w:rsid w:val="006D3830"/>
    <w:rsid w:val="006D39DA"/>
    <w:rsid w:val="006D495A"/>
    <w:rsid w:val="006D4A58"/>
    <w:rsid w:val="006D4E3D"/>
    <w:rsid w:val="006D5C03"/>
    <w:rsid w:val="006D604B"/>
    <w:rsid w:val="006D62B5"/>
    <w:rsid w:val="006D690E"/>
    <w:rsid w:val="006D7761"/>
    <w:rsid w:val="006D77AD"/>
    <w:rsid w:val="006D7AD0"/>
    <w:rsid w:val="006E06C6"/>
    <w:rsid w:val="006E2031"/>
    <w:rsid w:val="006E2590"/>
    <w:rsid w:val="006E295D"/>
    <w:rsid w:val="006E3734"/>
    <w:rsid w:val="006E3A51"/>
    <w:rsid w:val="006E461E"/>
    <w:rsid w:val="006E4747"/>
    <w:rsid w:val="006E4EA9"/>
    <w:rsid w:val="006E4F98"/>
    <w:rsid w:val="006E60CF"/>
    <w:rsid w:val="006E621A"/>
    <w:rsid w:val="006E66E1"/>
    <w:rsid w:val="006E705A"/>
    <w:rsid w:val="006E7841"/>
    <w:rsid w:val="006E79F8"/>
    <w:rsid w:val="006E7BB5"/>
    <w:rsid w:val="006F08D3"/>
    <w:rsid w:val="006F0971"/>
    <w:rsid w:val="006F164F"/>
    <w:rsid w:val="006F2419"/>
    <w:rsid w:val="006F2B38"/>
    <w:rsid w:val="006F2BB7"/>
    <w:rsid w:val="006F3C05"/>
    <w:rsid w:val="006F3C5D"/>
    <w:rsid w:val="006F46E5"/>
    <w:rsid w:val="006F475A"/>
    <w:rsid w:val="006F50DC"/>
    <w:rsid w:val="006F525D"/>
    <w:rsid w:val="006F5EF5"/>
    <w:rsid w:val="006F6907"/>
    <w:rsid w:val="006F6E28"/>
    <w:rsid w:val="006F7F2C"/>
    <w:rsid w:val="0070024F"/>
    <w:rsid w:val="007010EA"/>
    <w:rsid w:val="00701859"/>
    <w:rsid w:val="00701C22"/>
    <w:rsid w:val="007022F9"/>
    <w:rsid w:val="00702434"/>
    <w:rsid w:val="007029AC"/>
    <w:rsid w:val="007038C6"/>
    <w:rsid w:val="00705FF5"/>
    <w:rsid w:val="007065B8"/>
    <w:rsid w:val="007067B2"/>
    <w:rsid w:val="00710055"/>
    <w:rsid w:val="007101F5"/>
    <w:rsid w:val="00710729"/>
    <w:rsid w:val="007107E0"/>
    <w:rsid w:val="00710C15"/>
    <w:rsid w:val="00711190"/>
    <w:rsid w:val="00711EC9"/>
    <w:rsid w:val="00712129"/>
    <w:rsid w:val="00712E88"/>
    <w:rsid w:val="00712FC8"/>
    <w:rsid w:val="0071301A"/>
    <w:rsid w:val="007137B9"/>
    <w:rsid w:val="00713D02"/>
    <w:rsid w:val="00713DC4"/>
    <w:rsid w:val="00714981"/>
    <w:rsid w:val="00715062"/>
    <w:rsid w:val="0071568E"/>
    <w:rsid w:val="00715D75"/>
    <w:rsid w:val="00716A86"/>
    <w:rsid w:val="00716CCB"/>
    <w:rsid w:val="00716D4F"/>
    <w:rsid w:val="00717492"/>
    <w:rsid w:val="00720379"/>
    <w:rsid w:val="00720647"/>
    <w:rsid w:val="00720F12"/>
    <w:rsid w:val="007215A4"/>
    <w:rsid w:val="00722EF6"/>
    <w:rsid w:val="00723368"/>
    <w:rsid w:val="007234A1"/>
    <w:rsid w:val="007235A5"/>
    <w:rsid w:val="00724DB7"/>
    <w:rsid w:val="00725348"/>
    <w:rsid w:val="007255B3"/>
    <w:rsid w:val="00725AA6"/>
    <w:rsid w:val="00726843"/>
    <w:rsid w:val="00726966"/>
    <w:rsid w:val="00727869"/>
    <w:rsid w:val="00727A8F"/>
    <w:rsid w:val="00727E4D"/>
    <w:rsid w:val="007303FB"/>
    <w:rsid w:val="00730626"/>
    <w:rsid w:val="00730B29"/>
    <w:rsid w:val="0073111C"/>
    <w:rsid w:val="007314D9"/>
    <w:rsid w:val="00732BFB"/>
    <w:rsid w:val="007335C8"/>
    <w:rsid w:val="00733722"/>
    <w:rsid w:val="00734B7E"/>
    <w:rsid w:val="00734F3F"/>
    <w:rsid w:val="00736134"/>
    <w:rsid w:val="0073623C"/>
    <w:rsid w:val="0073672D"/>
    <w:rsid w:val="007373BE"/>
    <w:rsid w:val="007374F8"/>
    <w:rsid w:val="00737B0B"/>
    <w:rsid w:val="00740FEA"/>
    <w:rsid w:val="007410DF"/>
    <w:rsid w:val="0074110E"/>
    <w:rsid w:val="00741F10"/>
    <w:rsid w:val="0074204A"/>
    <w:rsid w:val="007428CA"/>
    <w:rsid w:val="00742A81"/>
    <w:rsid w:val="00742B57"/>
    <w:rsid w:val="0074313A"/>
    <w:rsid w:val="007433D2"/>
    <w:rsid w:val="00743520"/>
    <w:rsid w:val="007440DF"/>
    <w:rsid w:val="00744B6E"/>
    <w:rsid w:val="00745007"/>
    <w:rsid w:val="00745312"/>
    <w:rsid w:val="0074549B"/>
    <w:rsid w:val="0074573A"/>
    <w:rsid w:val="00745894"/>
    <w:rsid w:val="00746D50"/>
    <w:rsid w:val="00746FAB"/>
    <w:rsid w:val="007508D5"/>
    <w:rsid w:val="007519B9"/>
    <w:rsid w:val="007533B2"/>
    <w:rsid w:val="0075383C"/>
    <w:rsid w:val="00753A28"/>
    <w:rsid w:val="00753ABD"/>
    <w:rsid w:val="00753CD6"/>
    <w:rsid w:val="00753E78"/>
    <w:rsid w:val="00754880"/>
    <w:rsid w:val="00754F59"/>
    <w:rsid w:val="00755304"/>
    <w:rsid w:val="0075577B"/>
    <w:rsid w:val="00755C19"/>
    <w:rsid w:val="00755E50"/>
    <w:rsid w:val="00757283"/>
    <w:rsid w:val="00757756"/>
    <w:rsid w:val="00757766"/>
    <w:rsid w:val="007577D8"/>
    <w:rsid w:val="007578EF"/>
    <w:rsid w:val="007603CB"/>
    <w:rsid w:val="00760516"/>
    <w:rsid w:val="007606AF"/>
    <w:rsid w:val="00760EA8"/>
    <w:rsid w:val="00761B42"/>
    <w:rsid w:val="0076200E"/>
    <w:rsid w:val="007639A5"/>
    <w:rsid w:val="007645A2"/>
    <w:rsid w:val="00764774"/>
    <w:rsid w:val="00764EE5"/>
    <w:rsid w:val="0076606A"/>
    <w:rsid w:val="00766EC9"/>
    <w:rsid w:val="007702F5"/>
    <w:rsid w:val="00770C8B"/>
    <w:rsid w:val="0077116A"/>
    <w:rsid w:val="00772A46"/>
    <w:rsid w:val="00773BCD"/>
    <w:rsid w:val="00775188"/>
    <w:rsid w:val="0077523F"/>
    <w:rsid w:val="00775532"/>
    <w:rsid w:val="007760A1"/>
    <w:rsid w:val="007764F8"/>
    <w:rsid w:val="0077674A"/>
    <w:rsid w:val="00777207"/>
    <w:rsid w:val="00777EB3"/>
    <w:rsid w:val="00777FB1"/>
    <w:rsid w:val="00780526"/>
    <w:rsid w:val="0078057D"/>
    <w:rsid w:val="00780906"/>
    <w:rsid w:val="00780AB1"/>
    <w:rsid w:val="00781C3B"/>
    <w:rsid w:val="00782337"/>
    <w:rsid w:val="00782CD7"/>
    <w:rsid w:val="00783B47"/>
    <w:rsid w:val="00784BF9"/>
    <w:rsid w:val="00784F70"/>
    <w:rsid w:val="007850EB"/>
    <w:rsid w:val="0078590F"/>
    <w:rsid w:val="00786093"/>
    <w:rsid w:val="007866AD"/>
    <w:rsid w:val="00786AF8"/>
    <w:rsid w:val="00786C07"/>
    <w:rsid w:val="00786E94"/>
    <w:rsid w:val="00787010"/>
    <w:rsid w:val="007872C6"/>
    <w:rsid w:val="00787438"/>
    <w:rsid w:val="0078791A"/>
    <w:rsid w:val="00787F13"/>
    <w:rsid w:val="00787F4E"/>
    <w:rsid w:val="00790639"/>
    <w:rsid w:val="0079220E"/>
    <w:rsid w:val="00792A7B"/>
    <w:rsid w:val="007937CA"/>
    <w:rsid w:val="00795B5D"/>
    <w:rsid w:val="0079675A"/>
    <w:rsid w:val="00796BB5"/>
    <w:rsid w:val="00796CB1"/>
    <w:rsid w:val="007973D0"/>
    <w:rsid w:val="007975FC"/>
    <w:rsid w:val="00797E6D"/>
    <w:rsid w:val="007A0065"/>
    <w:rsid w:val="007A0712"/>
    <w:rsid w:val="007A1BF4"/>
    <w:rsid w:val="007A2188"/>
    <w:rsid w:val="007A244C"/>
    <w:rsid w:val="007A24D2"/>
    <w:rsid w:val="007A2649"/>
    <w:rsid w:val="007A2A00"/>
    <w:rsid w:val="007A4369"/>
    <w:rsid w:val="007A4E4D"/>
    <w:rsid w:val="007A50AB"/>
    <w:rsid w:val="007A57B7"/>
    <w:rsid w:val="007A5802"/>
    <w:rsid w:val="007A78C8"/>
    <w:rsid w:val="007A7932"/>
    <w:rsid w:val="007A7C6B"/>
    <w:rsid w:val="007B0240"/>
    <w:rsid w:val="007B09A2"/>
    <w:rsid w:val="007B168C"/>
    <w:rsid w:val="007B170B"/>
    <w:rsid w:val="007B1954"/>
    <w:rsid w:val="007B1F58"/>
    <w:rsid w:val="007B2028"/>
    <w:rsid w:val="007B3B8A"/>
    <w:rsid w:val="007B3D58"/>
    <w:rsid w:val="007B46C5"/>
    <w:rsid w:val="007B486F"/>
    <w:rsid w:val="007B4901"/>
    <w:rsid w:val="007B4C49"/>
    <w:rsid w:val="007B5E55"/>
    <w:rsid w:val="007B5EAA"/>
    <w:rsid w:val="007B6939"/>
    <w:rsid w:val="007B6C6A"/>
    <w:rsid w:val="007C07A5"/>
    <w:rsid w:val="007C123E"/>
    <w:rsid w:val="007C23C7"/>
    <w:rsid w:val="007C30F7"/>
    <w:rsid w:val="007C342A"/>
    <w:rsid w:val="007C362D"/>
    <w:rsid w:val="007C45A8"/>
    <w:rsid w:val="007C50F8"/>
    <w:rsid w:val="007C5345"/>
    <w:rsid w:val="007C5606"/>
    <w:rsid w:val="007C596B"/>
    <w:rsid w:val="007C6ED2"/>
    <w:rsid w:val="007C6F6F"/>
    <w:rsid w:val="007C70FD"/>
    <w:rsid w:val="007C795A"/>
    <w:rsid w:val="007D0169"/>
    <w:rsid w:val="007D0900"/>
    <w:rsid w:val="007D096E"/>
    <w:rsid w:val="007D20C0"/>
    <w:rsid w:val="007D22A4"/>
    <w:rsid w:val="007D2C58"/>
    <w:rsid w:val="007D2FBA"/>
    <w:rsid w:val="007D37CC"/>
    <w:rsid w:val="007D38DD"/>
    <w:rsid w:val="007D3928"/>
    <w:rsid w:val="007D39F4"/>
    <w:rsid w:val="007D3EEF"/>
    <w:rsid w:val="007D4163"/>
    <w:rsid w:val="007D4418"/>
    <w:rsid w:val="007D49DD"/>
    <w:rsid w:val="007D4EEE"/>
    <w:rsid w:val="007D4F88"/>
    <w:rsid w:val="007D6BF2"/>
    <w:rsid w:val="007D6E0A"/>
    <w:rsid w:val="007D73C7"/>
    <w:rsid w:val="007E01FD"/>
    <w:rsid w:val="007E08E1"/>
    <w:rsid w:val="007E1894"/>
    <w:rsid w:val="007E2A54"/>
    <w:rsid w:val="007E2B72"/>
    <w:rsid w:val="007E36FD"/>
    <w:rsid w:val="007E381A"/>
    <w:rsid w:val="007E3BD8"/>
    <w:rsid w:val="007E3D6F"/>
    <w:rsid w:val="007E49C9"/>
    <w:rsid w:val="007E4AC6"/>
    <w:rsid w:val="007E5852"/>
    <w:rsid w:val="007E638F"/>
    <w:rsid w:val="007E68E0"/>
    <w:rsid w:val="007E6EAE"/>
    <w:rsid w:val="007E70DA"/>
    <w:rsid w:val="007E77D2"/>
    <w:rsid w:val="007E7874"/>
    <w:rsid w:val="007E7A96"/>
    <w:rsid w:val="007E7C34"/>
    <w:rsid w:val="007F0229"/>
    <w:rsid w:val="007F1A01"/>
    <w:rsid w:val="007F1BF9"/>
    <w:rsid w:val="007F1CA1"/>
    <w:rsid w:val="007F2EC9"/>
    <w:rsid w:val="007F34ED"/>
    <w:rsid w:val="007F3566"/>
    <w:rsid w:val="007F3B9F"/>
    <w:rsid w:val="007F4D8B"/>
    <w:rsid w:val="007F4F58"/>
    <w:rsid w:val="007F6E72"/>
    <w:rsid w:val="007F73C2"/>
    <w:rsid w:val="007F7511"/>
    <w:rsid w:val="007F7514"/>
    <w:rsid w:val="008005D6"/>
    <w:rsid w:val="0080100B"/>
    <w:rsid w:val="0080165E"/>
    <w:rsid w:val="00801BC3"/>
    <w:rsid w:val="00802259"/>
    <w:rsid w:val="00802992"/>
    <w:rsid w:val="00802C4A"/>
    <w:rsid w:val="0080307C"/>
    <w:rsid w:val="00803346"/>
    <w:rsid w:val="00804203"/>
    <w:rsid w:val="00805814"/>
    <w:rsid w:val="00806F60"/>
    <w:rsid w:val="0080772F"/>
    <w:rsid w:val="00807E11"/>
    <w:rsid w:val="00811744"/>
    <w:rsid w:val="008117A8"/>
    <w:rsid w:val="00811A40"/>
    <w:rsid w:val="00812752"/>
    <w:rsid w:val="00812810"/>
    <w:rsid w:val="00812F24"/>
    <w:rsid w:val="00813147"/>
    <w:rsid w:val="00814911"/>
    <w:rsid w:val="00814A2C"/>
    <w:rsid w:val="00814EDD"/>
    <w:rsid w:val="00816408"/>
    <w:rsid w:val="008175AA"/>
    <w:rsid w:val="00817C35"/>
    <w:rsid w:val="00821CCA"/>
    <w:rsid w:val="008224EC"/>
    <w:rsid w:val="00823859"/>
    <w:rsid w:val="00823897"/>
    <w:rsid w:val="008239F8"/>
    <w:rsid w:val="00825105"/>
    <w:rsid w:val="00825228"/>
    <w:rsid w:val="00825992"/>
    <w:rsid w:val="00825F22"/>
    <w:rsid w:val="008267D0"/>
    <w:rsid w:val="00826F2E"/>
    <w:rsid w:val="00827572"/>
    <w:rsid w:val="00827FB6"/>
    <w:rsid w:val="008322EB"/>
    <w:rsid w:val="0083271B"/>
    <w:rsid w:val="008328DC"/>
    <w:rsid w:val="00832BEA"/>
    <w:rsid w:val="00833259"/>
    <w:rsid w:val="008338DE"/>
    <w:rsid w:val="008339D3"/>
    <w:rsid w:val="00833A76"/>
    <w:rsid w:val="00833B7C"/>
    <w:rsid w:val="00833C80"/>
    <w:rsid w:val="0083414E"/>
    <w:rsid w:val="00834BD5"/>
    <w:rsid w:val="00834FA6"/>
    <w:rsid w:val="00836F62"/>
    <w:rsid w:val="008375BB"/>
    <w:rsid w:val="0084004B"/>
    <w:rsid w:val="008403E5"/>
    <w:rsid w:val="0084066A"/>
    <w:rsid w:val="00840C2C"/>
    <w:rsid w:val="008415AB"/>
    <w:rsid w:val="00842558"/>
    <w:rsid w:val="008429D4"/>
    <w:rsid w:val="00842E08"/>
    <w:rsid w:val="00844978"/>
    <w:rsid w:val="00844AD8"/>
    <w:rsid w:val="00845690"/>
    <w:rsid w:val="00845758"/>
    <w:rsid w:val="008458E3"/>
    <w:rsid w:val="008463D1"/>
    <w:rsid w:val="008466E5"/>
    <w:rsid w:val="008477BF"/>
    <w:rsid w:val="00847BB2"/>
    <w:rsid w:val="00850024"/>
    <w:rsid w:val="00850165"/>
    <w:rsid w:val="008502E0"/>
    <w:rsid w:val="0085046C"/>
    <w:rsid w:val="00850803"/>
    <w:rsid w:val="008508D5"/>
    <w:rsid w:val="00851A1D"/>
    <w:rsid w:val="00851C11"/>
    <w:rsid w:val="0085243F"/>
    <w:rsid w:val="00852876"/>
    <w:rsid w:val="008537D2"/>
    <w:rsid w:val="0085403D"/>
    <w:rsid w:val="008548D0"/>
    <w:rsid w:val="00854C2E"/>
    <w:rsid w:val="0085535F"/>
    <w:rsid w:val="00855B0E"/>
    <w:rsid w:val="00856149"/>
    <w:rsid w:val="008622C9"/>
    <w:rsid w:val="00862A9C"/>
    <w:rsid w:val="00862F94"/>
    <w:rsid w:val="00863040"/>
    <w:rsid w:val="00864FB0"/>
    <w:rsid w:val="00865517"/>
    <w:rsid w:val="0086587C"/>
    <w:rsid w:val="00870A90"/>
    <w:rsid w:val="00870CDD"/>
    <w:rsid w:val="0087122F"/>
    <w:rsid w:val="00871C48"/>
    <w:rsid w:val="00872749"/>
    <w:rsid w:val="00872A03"/>
    <w:rsid w:val="00875267"/>
    <w:rsid w:val="008752D9"/>
    <w:rsid w:val="00875FBC"/>
    <w:rsid w:val="008760F2"/>
    <w:rsid w:val="00876188"/>
    <w:rsid w:val="00876729"/>
    <w:rsid w:val="0087676E"/>
    <w:rsid w:val="00876923"/>
    <w:rsid w:val="0087692C"/>
    <w:rsid w:val="00876A15"/>
    <w:rsid w:val="0087748B"/>
    <w:rsid w:val="008779B4"/>
    <w:rsid w:val="008802A4"/>
    <w:rsid w:val="00880BE1"/>
    <w:rsid w:val="00882D1B"/>
    <w:rsid w:val="00883B5A"/>
    <w:rsid w:val="00883F0E"/>
    <w:rsid w:val="00884887"/>
    <w:rsid w:val="008851D8"/>
    <w:rsid w:val="00885551"/>
    <w:rsid w:val="00886846"/>
    <w:rsid w:val="00887AD3"/>
    <w:rsid w:val="008917F6"/>
    <w:rsid w:val="00891C8E"/>
    <w:rsid w:val="00896549"/>
    <w:rsid w:val="008965B0"/>
    <w:rsid w:val="00896A8F"/>
    <w:rsid w:val="00896D80"/>
    <w:rsid w:val="0089703A"/>
    <w:rsid w:val="008972E2"/>
    <w:rsid w:val="00897843"/>
    <w:rsid w:val="00897F8E"/>
    <w:rsid w:val="008A0133"/>
    <w:rsid w:val="008A02BD"/>
    <w:rsid w:val="008A0EC7"/>
    <w:rsid w:val="008A1785"/>
    <w:rsid w:val="008A1CC6"/>
    <w:rsid w:val="008A1FBE"/>
    <w:rsid w:val="008A326B"/>
    <w:rsid w:val="008A51AF"/>
    <w:rsid w:val="008A58F3"/>
    <w:rsid w:val="008A5C46"/>
    <w:rsid w:val="008A5D9A"/>
    <w:rsid w:val="008A6909"/>
    <w:rsid w:val="008A7A55"/>
    <w:rsid w:val="008A7ABF"/>
    <w:rsid w:val="008B035D"/>
    <w:rsid w:val="008B1533"/>
    <w:rsid w:val="008B15B1"/>
    <w:rsid w:val="008B1711"/>
    <w:rsid w:val="008B2033"/>
    <w:rsid w:val="008B26E2"/>
    <w:rsid w:val="008B3915"/>
    <w:rsid w:val="008B4578"/>
    <w:rsid w:val="008B4D0E"/>
    <w:rsid w:val="008B5442"/>
    <w:rsid w:val="008B604C"/>
    <w:rsid w:val="008B6965"/>
    <w:rsid w:val="008C0C9D"/>
    <w:rsid w:val="008C1541"/>
    <w:rsid w:val="008C16B3"/>
    <w:rsid w:val="008C1B04"/>
    <w:rsid w:val="008C1E4C"/>
    <w:rsid w:val="008C296E"/>
    <w:rsid w:val="008C2EE1"/>
    <w:rsid w:val="008C305E"/>
    <w:rsid w:val="008C34AB"/>
    <w:rsid w:val="008C3C5B"/>
    <w:rsid w:val="008C3FC2"/>
    <w:rsid w:val="008C495C"/>
    <w:rsid w:val="008C5D92"/>
    <w:rsid w:val="008C6D65"/>
    <w:rsid w:val="008C7484"/>
    <w:rsid w:val="008D059D"/>
    <w:rsid w:val="008D124B"/>
    <w:rsid w:val="008D3155"/>
    <w:rsid w:val="008D41C5"/>
    <w:rsid w:val="008D507B"/>
    <w:rsid w:val="008D5BC7"/>
    <w:rsid w:val="008D6742"/>
    <w:rsid w:val="008D69A1"/>
    <w:rsid w:val="008D79F2"/>
    <w:rsid w:val="008D7CD6"/>
    <w:rsid w:val="008E01AF"/>
    <w:rsid w:val="008E0FCF"/>
    <w:rsid w:val="008E11CE"/>
    <w:rsid w:val="008E186A"/>
    <w:rsid w:val="008E27FB"/>
    <w:rsid w:val="008E2F90"/>
    <w:rsid w:val="008E3822"/>
    <w:rsid w:val="008E4744"/>
    <w:rsid w:val="008E4B54"/>
    <w:rsid w:val="008E4C75"/>
    <w:rsid w:val="008E4CB4"/>
    <w:rsid w:val="008E5CA7"/>
    <w:rsid w:val="008E79D7"/>
    <w:rsid w:val="008F1319"/>
    <w:rsid w:val="008F14BD"/>
    <w:rsid w:val="008F25F0"/>
    <w:rsid w:val="008F271E"/>
    <w:rsid w:val="008F2B52"/>
    <w:rsid w:val="008F4AB6"/>
    <w:rsid w:val="008F557F"/>
    <w:rsid w:val="008F56FB"/>
    <w:rsid w:val="008F6A3B"/>
    <w:rsid w:val="0090204B"/>
    <w:rsid w:val="00902931"/>
    <w:rsid w:val="00902A2B"/>
    <w:rsid w:val="00904A05"/>
    <w:rsid w:val="00905275"/>
    <w:rsid w:val="009059F7"/>
    <w:rsid w:val="00905B8E"/>
    <w:rsid w:val="00907AC3"/>
    <w:rsid w:val="00907C91"/>
    <w:rsid w:val="009102F7"/>
    <w:rsid w:val="00910D14"/>
    <w:rsid w:val="009111FF"/>
    <w:rsid w:val="00911A99"/>
    <w:rsid w:val="00911FC4"/>
    <w:rsid w:val="0091209B"/>
    <w:rsid w:val="00912295"/>
    <w:rsid w:val="00912418"/>
    <w:rsid w:val="0091296B"/>
    <w:rsid w:val="009129C8"/>
    <w:rsid w:val="00912AB8"/>
    <w:rsid w:val="00912DCA"/>
    <w:rsid w:val="009130AC"/>
    <w:rsid w:val="009130BB"/>
    <w:rsid w:val="00913198"/>
    <w:rsid w:val="0091371A"/>
    <w:rsid w:val="00913872"/>
    <w:rsid w:val="009150B9"/>
    <w:rsid w:val="0091589A"/>
    <w:rsid w:val="00917483"/>
    <w:rsid w:val="00917BD0"/>
    <w:rsid w:val="00917BEF"/>
    <w:rsid w:val="009208F7"/>
    <w:rsid w:val="009217C0"/>
    <w:rsid w:val="009219E3"/>
    <w:rsid w:val="00923818"/>
    <w:rsid w:val="00923CF8"/>
    <w:rsid w:val="0092504B"/>
    <w:rsid w:val="009254E4"/>
    <w:rsid w:val="00926065"/>
    <w:rsid w:val="00926CEB"/>
    <w:rsid w:val="00927134"/>
    <w:rsid w:val="009271B7"/>
    <w:rsid w:val="00927768"/>
    <w:rsid w:val="00927BD6"/>
    <w:rsid w:val="0093149C"/>
    <w:rsid w:val="00933BBB"/>
    <w:rsid w:val="00933D01"/>
    <w:rsid w:val="00933D97"/>
    <w:rsid w:val="00933FF6"/>
    <w:rsid w:val="009351E0"/>
    <w:rsid w:val="00935452"/>
    <w:rsid w:val="00935C0C"/>
    <w:rsid w:val="00936FDE"/>
    <w:rsid w:val="009409D0"/>
    <w:rsid w:val="009419A1"/>
    <w:rsid w:val="00941FAB"/>
    <w:rsid w:val="009421E6"/>
    <w:rsid w:val="0094347E"/>
    <w:rsid w:val="009435EF"/>
    <w:rsid w:val="009437FC"/>
    <w:rsid w:val="00943D8E"/>
    <w:rsid w:val="00944242"/>
    <w:rsid w:val="0094427D"/>
    <w:rsid w:val="00944578"/>
    <w:rsid w:val="00944808"/>
    <w:rsid w:val="00944974"/>
    <w:rsid w:val="00945180"/>
    <w:rsid w:val="00945871"/>
    <w:rsid w:val="00945C90"/>
    <w:rsid w:val="0094621E"/>
    <w:rsid w:val="009463E4"/>
    <w:rsid w:val="00947457"/>
    <w:rsid w:val="009476BA"/>
    <w:rsid w:val="00950372"/>
    <w:rsid w:val="00950467"/>
    <w:rsid w:val="009506B1"/>
    <w:rsid w:val="009510DD"/>
    <w:rsid w:val="009525FF"/>
    <w:rsid w:val="009527CE"/>
    <w:rsid w:val="0095322F"/>
    <w:rsid w:val="00953A5B"/>
    <w:rsid w:val="00955750"/>
    <w:rsid w:val="0095603D"/>
    <w:rsid w:val="00956528"/>
    <w:rsid w:val="00956AAA"/>
    <w:rsid w:val="00956B8E"/>
    <w:rsid w:val="009573D4"/>
    <w:rsid w:val="009579B9"/>
    <w:rsid w:val="00957C1D"/>
    <w:rsid w:val="00957E3F"/>
    <w:rsid w:val="0096000C"/>
    <w:rsid w:val="00960A48"/>
    <w:rsid w:val="00960ABE"/>
    <w:rsid w:val="00961685"/>
    <w:rsid w:val="00961C12"/>
    <w:rsid w:val="009626F4"/>
    <w:rsid w:val="00963123"/>
    <w:rsid w:val="00963B1B"/>
    <w:rsid w:val="00963BE9"/>
    <w:rsid w:val="00963CC2"/>
    <w:rsid w:val="00963FAC"/>
    <w:rsid w:val="00964287"/>
    <w:rsid w:val="00964E70"/>
    <w:rsid w:val="0096575B"/>
    <w:rsid w:val="00965A81"/>
    <w:rsid w:val="0096680C"/>
    <w:rsid w:val="00966B2F"/>
    <w:rsid w:val="00970F83"/>
    <w:rsid w:val="0097120E"/>
    <w:rsid w:val="009718CB"/>
    <w:rsid w:val="00972880"/>
    <w:rsid w:val="0097386D"/>
    <w:rsid w:val="00973C96"/>
    <w:rsid w:val="009743DE"/>
    <w:rsid w:val="009745DE"/>
    <w:rsid w:val="00974927"/>
    <w:rsid w:val="00975277"/>
    <w:rsid w:val="0097605E"/>
    <w:rsid w:val="00976E30"/>
    <w:rsid w:val="0098008E"/>
    <w:rsid w:val="009802DD"/>
    <w:rsid w:val="0098043E"/>
    <w:rsid w:val="00980959"/>
    <w:rsid w:val="0098101E"/>
    <w:rsid w:val="00981B7D"/>
    <w:rsid w:val="00982033"/>
    <w:rsid w:val="00982BB4"/>
    <w:rsid w:val="009831D1"/>
    <w:rsid w:val="00983964"/>
    <w:rsid w:val="00983A9E"/>
    <w:rsid w:val="009845AA"/>
    <w:rsid w:val="009858E5"/>
    <w:rsid w:val="00985C73"/>
    <w:rsid w:val="00985ED0"/>
    <w:rsid w:val="00987636"/>
    <w:rsid w:val="00990742"/>
    <w:rsid w:val="009907A2"/>
    <w:rsid w:val="00991854"/>
    <w:rsid w:val="00991F66"/>
    <w:rsid w:val="00993069"/>
    <w:rsid w:val="00993CB9"/>
    <w:rsid w:val="009946DE"/>
    <w:rsid w:val="00994B84"/>
    <w:rsid w:val="0099537B"/>
    <w:rsid w:val="0099543E"/>
    <w:rsid w:val="0099558F"/>
    <w:rsid w:val="00995D65"/>
    <w:rsid w:val="00995E2C"/>
    <w:rsid w:val="00995F28"/>
    <w:rsid w:val="00996A52"/>
    <w:rsid w:val="009970AD"/>
    <w:rsid w:val="00997313"/>
    <w:rsid w:val="009974EA"/>
    <w:rsid w:val="009A03B1"/>
    <w:rsid w:val="009A0BB9"/>
    <w:rsid w:val="009A0C87"/>
    <w:rsid w:val="009A136E"/>
    <w:rsid w:val="009A1390"/>
    <w:rsid w:val="009A176E"/>
    <w:rsid w:val="009A2A08"/>
    <w:rsid w:val="009A2A8C"/>
    <w:rsid w:val="009A313C"/>
    <w:rsid w:val="009A317F"/>
    <w:rsid w:val="009A3303"/>
    <w:rsid w:val="009A34FD"/>
    <w:rsid w:val="009A4E7F"/>
    <w:rsid w:val="009A532B"/>
    <w:rsid w:val="009A5E7A"/>
    <w:rsid w:val="009A7575"/>
    <w:rsid w:val="009A7FA7"/>
    <w:rsid w:val="009B0644"/>
    <w:rsid w:val="009B0D46"/>
    <w:rsid w:val="009B0F03"/>
    <w:rsid w:val="009B2D63"/>
    <w:rsid w:val="009B35B7"/>
    <w:rsid w:val="009B419E"/>
    <w:rsid w:val="009B42CF"/>
    <w:rsid w:val="009B4338"/>
    <w:rsid w:val="009B4D73"/>
    <w:rsid w:val="009B5F3D"/>
    <w:rsid w:val="009B630C"/>
    <w:rsid w:val="009B6B9B"/>
    <w:rsid w:val="009B6BB3"/>
    <w:rsid w:val="009C0258"/>
    <w:rsid w:val="009C02C1"/>
    <w:rsid w:val="009C064E"/>
    <w:rsid w:val="009C16EF"/>
    <w:rsid w:val="009C1A17"/>
    <w:rsid w:val="009C23A7"/>
    <w:rsid w:val="009C3F74"/>
    <w:rsid w:val="009C4329"/>
    <w:rsid w:val="009C515A"/>
    <w:rsid w:val="009C588A"/>
    <w:rsid w:val="009C732D"/>
    <w:rsid w:val="009D021D"/>
    <w:rsid w:val="009D093F"/>
    <w:rsid w:val="009D0C1D"/>
    <w:rsid w:val="009D1891"/>
    <w:rsid w:val="009D1A65"/>
    <w:rsid w:val="009D1DEA"/>
    <w:rsid w:val="009D2201"/>
    <w:rsid w:val="009D22F1"/>
    <w:rsid w:val="009D266D"/>
    <w:rsid w:val="009D3B71"/>
    <w:rsid w:val="009D3B7D"/>
    <w:rsid w:val="009D3D3E"/>
    <w:rsid w:val="009D42A6"/>
    <w:rsid w:val="009D4765"/>
    <w:rsid w:val="009D4B40"/>
    <w:rsid w:val="009D4CB4"/>
    <w:rsid w:val="009D4E7F"/>
    <w:rsid w:val="009D511F"/>
    <w:rsid w:val="009D71EA"/>
    <w:rsid w:val="009D7527"/>
    <w:rsid w:val="009D7F8E"/>
    <w:rsid w:val="009E065F"/>
    <w:rsid w:val="009E08DE"/>
    <w:rsid w:val="009E095C"/>
    <w:rsid w:val="009E1CCD"/>
    <w:rsid w:val="009E1E9F"/>
    <w:rsid w:val="009E2143"/>
    <w:rsid w:val="009E2C5A"/>
    <w:rsid w:val="009E3576"/>
    <w:rsid w:val="009E3988"/>
    <w:rsid w:val="009E3C94"/>
    <w:rsid w:val="009E4437"/>
    <w:rsid w:val="009E44CD"/>
    <w:rsid w:val="009E47B7"/>
    <w:rsid w:val="009E49AC"/>
    <w:rsid w:val="009E509E"/>
    <w:rsid w:val="009E5D0F"/>
    <w:rsid w:val="009E76E9"/>
    <w:rsid w:val="009E7BD9"/>
    <w:rsid w:val="009E7DD1"/>
    <w:rsid w:val="009F0316"/>
    <w:rsid w:val="009F04B2"/>
    <w:rsid w:val="009F0C6F"/>
    <w:rsid w:val="009F0F9B"/>
    <w:rsid w:val="009F1289"/>
    <w:rsid w:val="009F3A2F"/>
    <w:rsid w:val="009F5832"/>
    <w:rsid w:val="009F5989"/>
    <w:rsid w:val="009F6330"/>
    <w:rsid w:val="009F6D25"/>
    <w:rsid w:val="009F6F4F"/>
    <w:rsid w:val="009F6F57"/>
    <w:rsid w:val="009F72F3"/>
    <w:rsid w:val="009F76BC"/>
    <w:rsid w:val="009F7CEF"/>
    <w:rsid w:val="00A00682"/>
    <w:rsid w:val="00A012B4"/>
    <w:rsid w:val="00A01C2D"/>
    <w:rsid w:val="00A01CB1"/>
    <w:rsid w:val="00A024AA"/>
    <w:rsid w:val="00A0274F"/>
    <w:rsid w:val="00A028BD"/>
    <w:rsid w:val="00A030B3"/>
    <w:rsid w:val="00A043AF"/>
    <w:rsid w:val="00A05217"/>
    <w:rsid w:val="00A05917"/>
    <w:rsid w:val="00A05A5F"/>
    <w:rsid w:val="00A05EA4"/>
    <w:rsid w:val="00A07D04"/>
    <w:rsid w:val="00A07E01"/>
    <w:rsid w:val="00A07F46"/>
    <w:rsid w:val="00A10B97"/>
    <w:rsid w:val="00A11450"/>
    <w:rsid w:val="00A1159B"/>
    <w:rsid w:val="00A116AA"/>
    <w:rsid w:val="00A1187D"/>
    <w:rsid w:val="00A119E8"/>
    <w:rsid w:val="00A11CE5"/>
    <w:rsid w:val="00A11FD5"/>
    <w:rsid w:val="00A13729"/>
    <w:rsid w:val="00A13B48"/>
    <w:rsid w:val="00A13EE7"/>
    <w:rsid w:val="00A14CFF"/>
    <w:rsid w:val="00A16230"/>
    <w:rsid w:val="00A16B90"/>
    <w:rsid w:val="00A17C04"/>
    <w:rsid w:val="00A20005"/>
    <w:rsid w:val="00A2020C"/>
    <w:rsid w:val="00A20943"/>
    <w:rsid w:val="00A2203D"/>
    <w:rsid w:val="00A22649"/>
    <w:rsid w:val="00A2280F"/>
    <w:rsid w:val="00A232D7"/>
    <w:rsid w:val="00A23891"/>
    <w:rsid w:val="00A24262"/>
    <w:rsid w:val="00A24880"/>
    <w:rsid w:val="00A24BB4"/>
    <w:rsid w:val="00A24CC8"/>
    <w:rsid w:val="00A2559D"/>
    <w:rsid w:val="00A263BF"/>
    <w:rsid w:val="00A269D2"/>
    <w:rsid w:val="00A26AE0"/>
    <w:rsid w:val="00A26B40"/>
    <w:rsid w:val="00A26F87"/>
    <w:rsid w:val="00A273CC"/>
    <w:rsid w:val="00A27C78"/>
    <w:rsid w:val="00A32023"/>
    <w:rsid w:val="00A32211"/>
    <w:rsid w:val="00A32885"/>
    <w:rsid w:val="00A329EE"/>
    <w:rsid w:val="00A32D81"/>
    <w:rsid w:val="00A3307F"/>
    <w:rsid w:val="00A330E6"/>
    <w:rsid w:val="00A334D5"/>
    <w:rsid w:val="00A33976"/>
    <w:rsid w:val="00A350FB"/>
    <w:rsid w:val="00A35D07"/>
    <w:rsid w:val="00A367FA"/>
    <w:rsid w:val="00A3766B"/>
    <w:rsid w:val="00A379D1"/>
    <w:rsid w:val="00A37D5B"/>
    <w:rsid w:val="00A40381"/>
    <w:rsid w:val="00A40B10"/>
    <w:rsid w:val="00A40D46"/>
    <w:rsid w:val="00A415DB"/>
    <w:rsid w:val="00A4319C"/>
    <w:rsid w:val="00A43241"/>
    <w:rsid w:val="00A43357"/>
    <w:rsid w:val="00A43A7D"/>
    <w:rsid w:val="00A43CD8"/>
    <w:rsid w:val="00A43CDD"/>
    <w:rsid w:val="00A43DB4"/>
    <w:rsid w:val="00A44964"/>
    <w:rsid w:val="00A46D64"/>
    <w:rsid w:val="00A47256"/>
    <w:rsid w:val="00A473D3"/>
    <w:rsid w:val="00A479BB"/>
    <w:rsid w:val="00A47D8F"/>
    <w:rsid w:val="00A50273"/>
    <w:rsid w:val="00A50AEB"/>
    <w:rsid w:val="00A51725"/>
    <w:rsid w:val="00A519F7"/>
    <w:rsid w:val="00A53A2A"/>
    <w:rsid w:val="00A550E8"/>
    <w:rsid w:val="00A557D2"/>
    <w:rsid w:val="00A56679"/>
    <w:rsid w:val="00A567D1"/>
    <w:rsid w:val="00A56D33"/>
    <w:rsid w:val="00A5734A"/>
    <w:rsid w:val="00A57492"/>
    <w:rsid w:val="00A57825"/>
    <w:rsid w:val="00A60B3A"/>
    <w:rsid w:val="00A618A5"/>
    <w:rsid w:val="00A61D7F"/>
    <w:rsid w:val="00A62CE9"/>
    <w:rsid w:val="00A63243"/>
    <w:rsid w:val="00A632AC"/>
    <w:rsid w:val="00A63563"/>
    <w:rsid w:val="00A640B9"/>
    <w:rsid w:val="00A64118"/>
    <w:rsid w:val="00A64BFC"/>
    <w:rsid w:val="00A65616"/>
    <w:rsid w:val="00A66786"/>
    <w:rsid w:val="00A66DF1"/>
    <w:rsid w:val="00A6704E"/>
    <w:rsid w:val="00A6735B"/>
    <w:rsid w:val="00A67E4A"/>
    <w:rsid w:val="00A709DC"/>
    <w:rsid w:val="00A70EB3"/>
    <w:rsid w:val="00A70F74"/>
    <w:rsid w:val="00A71A0E"/>
    <w:rsid w:val="00A735BC"/>
    <w:rsid w:val="00A7414B"/>
    <w:rsid w:val="00A744F2"/>
    <w:rsid w:val="00A745F7"/>
    <w:rsid w:val="00A74F81"/>
    <w:rsid w:val="00A7505A"/>
    <w:rsid w:val="00A7523E"/>
    <w:rsid w:val="00A757AD"/>
    <w:rsid w:val="00A75EA6"/>
    <w:rsid w:val="00A764E3"/>
    <w:rsid w:val="00A7652E"/>
    <w:rsid w:val="00A77241"/>
    <w:rsid w:val="00A77489"/>
    <w:rsid w:val="00A77D1B"/>
    <w:rsid w:val="00A808B8"/>
    <w:rsid w:val="00A812FA"/>
    <w:rsid w:val="00A81AEE"/>
    <w:rsid w:val="00A81C7B"/>
    <w:rsid w:val="00A82A25"/>
    <w:rsid w:val="00A82A3B"/>
    <w:rsid w:val="00A833C9"/>
    <w:rsid w:val="00A83AC2"/>
    <w:rsid w:val="00A853F7"/>
    <w:rsid w:val="00A85EFF"/>
    <w:rsid w:val="00A862F8"/>
    <w:rsid w:val="00A86BD0"/>
    <w:rsid w:val="00A86CA6"/>
    <w:rsid w:val="00A87115"/>
    <w:rsid w:val="00A87203"/>
    <w:rsid w:val="00A872CC"/>
    <w:rsid w:val="00A878CE"/>
    <w:rsid w:val="00A87DDF"/>
    <w:rsid w:val="00A90EAE"/>
    <w:rsid w:val="00A915BF"/>
    <w:rsid w:val="00A9193E"/>
    <w:rsid w:val="00A9207F"/>
    <w:rsid w:val="00A923C7"/>
    <w:rsid w:val="00A92436"/>
    <w:rsid w:val="00A92E59"/>
    <w:rsid w:val="00A944E9"/>
    <w:rsid w:val="00A94FE0"/>
    <w:rsid w:val="00A95513"/>
    <w:rsid w:val="00A96903"/>
    <w:rsid w:val="00AA0260"/>
    <w:rsid w:val="00AA0B49"/>
    <w:rsid w:val="00AA0FF5"/>
    <w:rsid w:val="00AA1064"/>
    <w:rsid w:val="00AA1CB6"/>
    <w:rsid w:val="00AA1E0B"/>
    <w:rsid w:val="00AA25B8"/>
    <w:rsid w:val="00AA2F0E"/>
    <w:rsid w:val="00AA47C9"/>
    <w:rsid w:val="00AA48AB"/>
    <w:rsid w:val="00AA5A3B"/>
    <w:rsid w:val="00AA60D5"/>
    <w:rsid w:val="00AA6120"/>
    <w:rsid w:val="00AA7186"/>
    <w:rsid w:val="00AB3433"/>
    <w:rsid w:val="00AB3547"/>
    <w:rsid w:val="00AB3851"/>
    <w:rsid w:val="00AB3E79"/>
    <w:rsid w:val="00AB3F40"/>
    <w:rsid w:val="00AB5547"/>
    <w:rsid w:val="00AB5722"/>
    <w:rsid w:val="00AB575A"/>
    <w:rsid w:val="00AB5DA3"/>
    <w:rsid w:val="00AB5EB6"/>
    <w:rsid w:val="00AB767B"/>
    <w:rsid w:val="00AB79B5"/>
    <w:rsid w:val="00AB7ED1"/>
    <w:rsid w:val="00AC25B3"/>
    <w:rsid w:val="00AC2CDB"/>
    <w:rsid w:val="00AC2D19"/>
    <w:rsid w:val="00AC35CE"/>
    <w:rsid w:val="00AC3622"/>
    <w:rsid w:val="00AC379D"/>
    <w:rsid w:val="00AC3869"/>
    <w:rsid w:val="00AC3940"/>
    <w:rsid w:val="00AC3E2F"/>
    <w:rsid w:val="00AC40C4"/>
    <w:rsid w:val="00AC415D"/>
    <w:rsid w:val="00AC4170"/>
    <w:rsid w:val="00AC4FA3"/>
    <w:rsid w:val="00AC4FF3"/>
    <w:rsid w:val="00AC548F"/>
    <w:rsid w:val="00AC5F5B"/>
    <w:rsid w:val="00AC624A"/>
    <w:rsid w:val="00AC6635"/>
    <w:rsid w:val="00AC6679"/>
    <w:rsid w:val="00AC73D8"/>
    <w:rsid w:val="00AC7543"/>
    <w:rsid w:val="00AD0069"/>
    <w:rsid w:val="00AD115A"/>
    <w:rsid w:val="00AD133A"/>
    <w:rsid w:val="00AD205D"/>
    <w:rsid w:val="00AD32B6"/>
    <w:rsid w:val="00AD3860"/>
    <w:rsid w:val="00AD4784"/>
    <w:rsid w:val="00AD4F50"/>
    <w:rsid w:val="00AD5274"/>
    <w:rsid w:val="00AD5A60"/>
    <w:rsid w:val="00AD5F5F"/>
    <w:rsid w:val="00AD60D1"/>
    <w:rsid w:val="00AD61BD"/>
    <w:rsid w:val="00AD6487"/>
    <w:rsid w:val="00AD6C1A"/>
    <w:rsid w:val="00AD772E"/>
    <w:rsid w:val="00AD78EA"/>
    <w:rsid w:val="00AD7AAF"/>
    <w:rsid w:val="00AE01E3"/>
    <w:rsid w:val="00AE04E8"/>
    <w:rsid w:val="00AE0E38"/>
    <w:rsid w:val="00AE1048"/>
    <w:rsid w:val="00AE1358"/>
    <w:rsid w:val="00AE2D97"/>
    <w:rsid w:val="00AE34C5"/>
    <w:rsid w:val="00AE356C"/>
    <w:rsid w:val="00AE36F2"/>
    <w:rsid w:val="00AE394A"/>
    <w:rsid w:val="00AE3C96"/>
    <w:rsid w:val="00AE44F2"/>
    <w:rsid w:val="00AE48E3"/>
    <w:rsid w:val="00AE4A32"/>
    <w:rsid w:val="00AE589C"/>
    <w:rsid w:val="00AE5A2C"/>
    <w:rsid w:val="00AE5D35"/>
    <w:rsid w:val="00AE6765"/>
    <w:rsid w:val="00AE67E7"/>
    <w:rsid w:val="00AE6D64"/>
    <w:rsid w:val="00AF09EA"/>
    <w:rsid w:val="00AF0AAB"/>
    <w:rsid w:val="00AF13A2"/>
    <w:rsid w:val="00AF1A95"/>
    <w:rsid w:val="00AF2D95"/>
    <w:rsid w:val="00AF331F"/>
    <w:rsid w:val="00AF339D"/>
    <w:rsid w:val="00AF3469"/>
    <w:rsid w:val="00AF4252"/>
    <w:rsid w:val="00AF456F"/>
    <w:rsid w:val="00AF47CC"/>
    <w:rsid w:val="00AF4883"/>
    <w:rsid w:val="00AF4935"/>
    <w:rsid w:val="00AF53ED"/>
    <w:rsid w:val="00AF5533"/>
    <w:rsid w:val="00AF7516"/>
    <w:rsid w:val="00AF7630"/>
    <w:rsid w:val="00AF7AEF"/>
    <w:rsid w:val="00B01D7E"/>
    <w:rsid w:val="00B02323"/>
    <w:rsid w:val="00B024B8"/>
    <w:rsid w:val="00B02BAF"/>
    <w:rsid w:val="00B035B3"/>
    <w:rsid w:val="00B03983"/>
    <w:rsid w:val="00B0499B"/>
    <w:rsid w:val="00B049EF"/>
    <w:rsid w:val="00B04D55"/>
    <w:rsid w:val="00B05B34"/>
    <w:rsid w:val="00B05B40"/>
    <w:rsid w:val="00B06162"/>
    <w:rsid w:val="00B0623C"/>
    <w:rsid w:val="00B062FE"/>
    <w:rsid w:val="00B07722"/>
    <w:rsid w:val="00B1022A"/>
    <w:rsid w:val="00B10E3A"/>
    <w:rsid w:val="00B10EE4"/>
    <w:rsid w:val="00B114B7"/>
    <w:rsid w:val="00B11718"/>
    <w:rsid w:val="00B126F9"/>
    <w:rsid w:val="00B1366E"/>
    <w:rsid w:val="00B1368B"/>
    <w:rsid w:val="00B1480A"/>
    <w:rsid w:val="00B14DC7"/>
    <w:rsid w:val="00B15BF6"/>
    <w:rsid w:val="00B1637C"/>
    <w:rsid w:val="00B165B7"/>
    <w:rsid w:val="00B1755F"/>
    <w:rsid w:val="00B17E64"/>
    <w:rsid w:val="00B20012"/>
    <w:rsid w:val="00B20C4E"/>
    <w:rsid w:val="00B20EBD"/>
    <w:rsid w:val="00B25A15"/>
    <w:rsid w:val="00B25CA8"/>
    <w:rsid w:val="00B25EFD"/>
    <w:rsid w:val="00B267F4"/>
    <w:rsid w:val="00B26937"/>
    <w:rsid w:val="00B26C3B"/>
    <w:rsid w:val="00B26C4D"/>
    <w:rsid w:val="00B27374"/>
    <w:rsid w:val="00B27711"/>
    <w:rsid w:val="00B30916"/>
    <w:rsid w:val="00B31D33"/>
    <w:rsid w:val="00B3290E"/>
    <w:rsid w:val="00B32F1E"/>
    <w:rsid w:val="00B33E35"/>
    <w:rsid w:val="00B34129"/>
    <w:rsid w:val="00B350C3"/>
    <w:rsid w:val="00B3512C"/>
    <w:rsid w:val="00B35611"/>
    <w:rsid w:val="00B35CA5"/>
    <w:rsid w:val="00B35F5E"/>
    <w:rsid w:val="00B36104"/>
    <w:rsid w:val="00B36379"/>
    <w:rsid w:val="00B367B8"/>
    <w:rsid w:val="00B3769B"/>
    <w:rsid w:val="00B378D0"/>
    <w:rsid w:val="00B37B29"/>
    <w:rsid w:val="00B400FB"/>
    <w:rsid w:val="00B403A0"/>
    <w:rsid w:val="00B40771"/>
    <w:rsid w:val="00B41493"/>
    <w:rsid w:val="00B414EF"/>
    <w:rsid w:val="00B416B7"/>
    <w:rsid w:val="00B4179D"/>
    <w:rsid w:val="00B42CEF"/>
    <w:rsid w:val="00B439E4"/>
    <w:rsid w:val="00B43C8B"/>
    <w:rsid w:val="00B45519"/>
    <w:rsid w:val="00B46589"/>
    <w:rsid w:val="00B46700"/>
    <w:rsid w:val="00B46CB9"/>
    <w:rsid w:val="00B46CCC"/>
    <w:rsid w:val="00B46F72"/>
    <w:rsid w:val="00B50EB3"/>
    <w:rsid w:val="00B511AB"/>
    <w:rsid w:val="00B51981"/>
    <w:rsid w:val="00B5203B"/>
    <w:rsid w:val="00B52A1D"/>
    <w:rsid w:val="00B52ED0"/>
    <w:rsid w:val="00B53579"/>
    <w:rsid w:val="00B538D7"/>
    <w:rsid w:val="00B5407C"/>
    <w:rsid w:val="00B54B8D"/>
    <w:rsid w:val="00B54CCC"/>
    <w:rsid w:val="00B54DDC"/>
    <w:rsid w:val="00B54E01"/>
    <w:rsid w:val="00B551D1"/>
    <w:rsid w:val="00B5625C"/>
    <w:rsid w:val="00B57389"/>
    <w:rsid w:val="00B57411"/>
    <w:rsid w:val="00B57599"/>
    <w:rsid w:val="00B607ED"/>
    <w:rsid w:val="00B60AD1"/>
    <w:rsid w:val="00B6179B"/>
    <w:rsid w:val="00B61DE2"/>
    <w:rsid w:val="00B626F3"/>
    <w:rsid w:val="00B63805"/>
    <w:rsid w:val="00B64239"/>
    <w:rsid w:val="00B652ED"/>
    <w:rsid w:val="00B66153"/>
    <w:rsid w:val="00B66E6E"/>
    <w:rsid w:val="00B670D7"/>
    <w:rsid w:val="00B6766F"/>
    <w:rsid w:val="00B678F7"/>
    <w:rsid w:val="00B67B71"/>
    <w:rsid w:val="00B708D8"/>
    <w:rsid w:val="00B70A60"/>
    <w:rsid w:val="00B710C4"/>
    <w:rsid w:val="00B711F0"/>
    <w:rsid w:val="00B71A35"/>
    <w:rsid w:val="00B71A8B"/>
    <w:rsid w:val="00B71A91"/>
    <w:rsid w:val="00B72063"/>
    <w:rsid w:val="00B74AD3"/>
    <w:rsid w:val="00B74BDD"/>
    <w:rsid w:val="00B74D22"/>
    <w:rsid w:val="00B75208"/>
    <w:rsid w:val="00B75B2D"/>
    <w:rsid w:val="00B76533"/>
    <w:rsid w:val="00B76C25"/>
    <w:rsid w:val="00B77675"/>
    <w:rsid w:val="00B8018B"/>
    <w:rsid w:val="00B8056E"/>
    <w:rsid w:val="00B80916"/>
    <w:rsid w:val="00B80D64"/>
    <w:rsid w:val="00B80E5C"/>
    <w:rsid w:val="00B80F68"/>
    <w:rsid w:val="00B80F7F"/>
    <w:rsid w:val="00B8166A"/>
    <w:rsid w:val="00B81F73"/>
    <w:rsid w:val="00B82A02"/>
    <w:rsid w:val="00B82DD1"/>
    <w:rsid w:val="00B82EE1"/>
    <w:rsid w:val="00B83898"/>
    <w:rsid w:val="00B83B3A"/>
    <w:rsid w:val="00B83BD4"/>
    <w:rsid w:val="00B84754"/>
    <w:rsid w:val="00B84D97"/>
    <w:rsid w:val="00B852F4"/>
    <w:rsid w:val="00B853C8"/>
    <w:rsid w:val="00B85492"/>
    <w:rsid w:val="00B85837"/>
    <w:rsid w:val="00B86DFA"/>
    <w:rsid w:val="00B87745"/>
    <w:rsid w:val="00B903E8"/>
    <w:rsid w:val="00B90F78"/>
    <w:rsid w:val="00B91AE5"/>
    <w:rsid w:val="00B91C46"/>
    <w:rsid w:val="00B921B9"/>
    <w:rsid w:val="00B92402"/>
    <w:rsid w:val="00B944C3"/>
    <w:rsid w:val="00B94F3F"/>
    <w:rsid w:val="00B9659D"/>
    <w:rsid w:val="00B966A3"/>
    <w:rsid w:val="00B97C2F"/>
    <w:rsid w:val="00B97CC4"/>
    <w:rsid w:val="00BA06F1"/>
    <w:rsid w:val="00BA1255"/>
    <w:rsid w:val="00BA266C"/>
    <w:rsid w:val="00BA2C46"/>
    <w:rsid w:val="00BA405D"/>
    <w:rsid w:val="00BA4C09"/>
    <w:rsid w:val="00BA50A7"/>
    <w:rsid w:val="00BA60B7"/>
    <w:rsid w:val="00BA6B8A"/>
    <w:rsid w:val="00BA71AC"/>
    <w:rsid w:val="00BA76B3"/>
    <w:rsid w:val="00BA7B7E"/>
    <w:rsid w:val="00BB04D5"/>
    <w:rsid w:val="00BB04DE"/>
    <w:rsid w:val="00BB16FD"/>
    <w:rsid w:val="00BB1A27"/>
    <w:rsid w:val="00BB1F84"/>
    <w:rsid w:val="00BB22EF"/>
    <w:rsid w:val="00BB3430"/>
    <w:rsid w:val="00BB3547"/>
    <w:rsid w:val="00BB399A"/>
    <w:rsid w:val="00BB3B33"/>
    <w:rsid w:val="00BB3E81"/>
    <w:rsid w:val="00BB430A"/>
    <w:rsid w:val="00BB5880"/>
    <w:rsid w:val="00BB5AFE"/>
    <w:rsid w:val="00BB5F6F"/>
    <w:rsid w:val="00BB6558"/>
    <w:rsid w:val="00BB6A8B"/>
    <w:rsid w:val="00BB7C65"/>
    <w:rsid w:val="00BC08A0"/>
    <w:rsid w:val="00BC0C44"/>
    <w:rsid w:val="00BC13C7"/>
    <w:rsid w:val="00BC13FD"/>
    <w:rsid w:val="00BC2857"/>
    <w:rsid w:val="00BC2AD1"/>
    <w:rsid w:val="00BC3B44"/>
    <w:rsid w:val="00BC603C"/>
    <w:rsid w:val="00BC6261"/>
    <w:rsid w:val="00BC6C47"/>
    <w:rsid w:val="00BC6CA6"/>
    <w:rsid w:val="00BC74DA"/>
    <w:rsid w:val="00BC77C6"/>
    <w:rsid w:val="00BC7C74"/>
    <w:rsid w:val="00BC7FD9"/>
    <w:rsid w:val="00BD028A"/>
    <w:rsid w:val="00BD075A"/>
    <w:rsid w:val="00BD0F21"/>
    <w:rsid w:val="00BD17B5"/>
    <w:rsid w:val="00BD1D23"/>
    <w:rsid w:val="00BD2436"/>
    <w:rsid w:val="00BD2FD0"/>
    <w:rsid w:val="00BD35A6"/>
    <w:rsid w:val="00BD37E3"/>
    <w:rsid w:val="00BD39E3"/>
    <w:rsid w:val="00BD3C24"/>
    <w:rsid w:val="00BD3F4B"/>
    <w:rsid w:val="00BD4AFF"/>
    <w:rsid w:val="00BD4DCC"/>
    <w:rsid w:val="00BD52DE"/>
    <w:rsid w:val="00BD5CF7"/>
    <w:rsid w:val="00BD61D3"/>
    <w:rsid w:val="00BD74BE"/>
    <w:rsid w:val="00BD7795"/>
    <w:rsid w:val="00BE035C"/>
    <w:rsid w:val="00BE0DE4"/>
    <w:rsid w:val="00BE1014"/>
    <w:rsid w:val="00BE12B1"/>
    <w:rsid w:val="00BE134C"/>
    <w:rsid w:val="00BE1BCA"/>
    <w:rsid w:val="00BE25A2"/>
    <w:rsid w:val="00BE28FD"/>
    <w:rsid w:val="00BE32BD"/>
    <w:rsid w:val="00BE3643"/>
    <w:rsid w:val="00BE3A1C"/>
    <w:rsid w:val="00BE5063"/>
    <w:rsid w:val="00BE5D73"/>
    <w:rsid w:val="00BE5F21"/>
    <w:rsid w:val="00BE6263"/>
    <w:rsid w:val="00BE6268"/>
    <w:rsid w:val="00BE648F"/>
    <w:rsid w:val="00BE716E"/>
    <w:rsid w:val="00BE791C"/>
    <w:rsid w:val="00BE7A4D"/>
    <w:rsid w:val="00BE7DA6"/>
    <w:rsid w:val="00BF07F9"/>
    <w:rsid w:val="00BF0D75"/>
    <w:rsid w:val="00BF0EBB"/>
    <w:rsid w:val="00BF2401"/>
    <w:rsid w:val="00BF2666"/>
    <w:rsid w:val="00BF2F4A"/>
    <w:rsid w:val="00BF302C"/>
    <w:rsid w:val="00BF3ACB"/>
    <w:rsid w:val="00BF3B5A"/>
    <w:rsid w:val="00BF3D68"/>
    <w:rsid w:val="00BF3DDA"/>
    <w:rsid w:val="00BF4199"/>
    <w:rsid w:val="00BF5E92"/>
    <w:rsid w:val="00BF5FE0"/>
    <w:rsid w:val="00BF6BA2"/>
    <w:rsid w:val="00BF6FF7"/>
    <w:rsid w:val="00BF703E"/>
    <w:rsid w:val="00BF74C9"/>
    <w:rsid w:val="00C015A0"/>
    <w:rsid w:val="00C01A70"/>
    <w:rsid w:val="00C02BD5"/>
    <w:rsid w:val="00C03857"/>
    <w:rsid w:val="00C044BF"/>
    <w:rsid w:val="00C0602D"/>
    <w:rsid w:val="00C06505"/>
    <w:rsid w:val="00C06ED8"/>
    <w:rsid w:val="00C074D7"/>
    <w:rsid w:val="00C10682"/>
    <w:rsid w:val="00C11A01"/>
    <w:rsid w:val="00C11C24"/>
    <w:rsid w:val="00C11F7D"/>
    <w:rsid w:val="00C12867"/>
    <w:rsid w:val="00C12C20"/>
    <w:rsid w:val="00C12FA4"/>
    <w:rsid w:val="00C13797"/>
    <w:rsid w:val="00C138BB"/>
    <w:rsid w:val="00C1506A"/>
    <w:rsid w:val="00C15877"/>
    <w:rsid w:val="00C1592E"/>
    <w:rsid w:val="00C15E8F"/>
    <w:rsid w:val="00C1601E"/>
    <w:rsid w:val="00C16805"/>
    <w:rsid w:val="00C17123"/>
    <w:rsid w:val="00C20171"/>
    <w:rsid w:val="00C21C92"/>
    <w:rsid w:val="00C22A3E"/>
    <w:rsid w:val="00C23D8C"/>
    <w:rsid w:val="00C24647"/>
    <w:rsid w:val="00C251E8"/>
    <w:rsid w:val="00C254BB"/>
    <w:rsid w:val="00C261CE"/>
    <w:rsid w:val="00C261F6"/>
    <w:rsid w:val="00C26327"/>
    <w:rsid w:val="00C2636F"/>
    <w:rsid w:val="00C26589"/>
    <w:rsid w:val="00C26DFD"/>
    <w:rsid w:val="00C26FBB"/>
    <w:rsid w:val="00C2770B"/>
    <w:rsid w:val="00C2795C"/>
    <w:rsid w:val="00C279EF"/>
    <w:rsid w:val="00C31800"/>
    <w:rsid w:val="00C32BB8"/>
    <w:rsid w:val="00C33444"/>
    <w:rsid w:val="00C34382"/>
    <w:rsid w:val="00C34695"/>
    <w:rsid w:val="00C35F3B"/>
    <w:rsid w:val="00C362DE"/>
    <w:rsid w:val="00C365E6"/>
    <w:rsid w:val="00C37AA2"/>
    <w:rsid w:val="00C37C23"/>
    <w:rsid w:val="00C406E9"/>
    <w:rsid w:val="00C40E88"/>
    <w:rsid w:val="00C411E4"/>
    <w:rsid w:val="00C416A2"/>
    <w:rsid w:val="00C416E5"/>
    <w:rsid w:val="00C416FF"/>
    <w:rsid w:val="00C41C14"/>
    <w:rsid w:val="00C41F1D"/>
    <w:rsid w:val="00C427F6"/>
    <w:rsid w:val="00C42DB4"/>
    <w:rsid w:val="00C42E26"/>
    <w:rsid w:val="00C435A8"/>
    <w:rsid w:val="00C43E94"/>
    <w:rsid w:val="00C449FB"/>
    <w:rsid w:val="00C44F4A"/>
    <w:rsid w:val="00C450E0"/>
    <w:rsid w:val="00C45227"/>
    <w:rsid w:val="00C4629C"/>
    <w:rsid w:val="00C467A9"/>
    <w:rsid w:val="00C46D7E"/>
    <w:rsid w:val="00C47F5B"/>
    <w:rsid w:val="00C5060E"/>
    <w:rsid w:val="00C507B0"/>
    <w:rsid w:val="00C50FE5"/>
    <w:rsid w:val="00C5175A"/>
    <w:rsid w:val="00C52952"/>
    <w:rsid w:val="00C5301E"/>
    <w:rsid w:val="00C536FC"/>
    <w:rsid w:val="00C538DC"/>
    <w:rsid w:val="00C5429A"/>
    <w:rsid w:val="00C54AEE"/>
    <w:rsid w:val="00C54D75"/>
    <w:rsid w:val="00C5529E"/>
    <w:rsid w:val="00C55861"/>
    <w:rsid w:val="00C5672A"/>
    <w:rsid w:val="00C57642"/>
    <w:rsid w:val="00C57951"/>
    <w:rsid w:val="00C6022B"/>
    <w:rsid w:val="00C60566"/>
    <w:rsid w:val="00C60FFA"/>
    <w:rsid w:val="00C61225"/>
    <w:rsid w:val="00C61572"/>
    <w:rsid w:val="00C61CCF"/>
    <w:rsid w:val="00C61EA3"/>
    <w:rsid w:val="00C6203E"/>
    <w:rsid w:val="00C62346"/>
    <w:rsid w:val="00C6275D"/>
    <w:rsid w:val="00C6288C"/>
    <w:rsid w:val="00C635E4"/>
    <w:rsid w:val="00C63BE9"/>
    <w:rsid w:val="00C63C42"/>
    <w:rsid w:val="00C63D88"/>
    <w:rsid w:val="00C64E73"/>
    <w:rsid w:val="00C652A7"/>
    <w:rsid w:val="00C65CAA"/>
    <w:rsid w:val="00C65F1E"/>
    <w:rsid w:val="00C6707C"/>
    <w:rsid w:val="00C67113"/>
    <w:rsid w:val="00C6714F"/>
    <w:rsid w:val="00C67927"/>
    <w:rsid w:val="00C7058F"/>
    <w:rsid w:val="00C714F3"/>
    <w:rsid w:val="00C71A90"/>
    <w:rsid w:val="00C722B1"/>
    <w:rsid w:val="00C75829"/>
    <w:rsid w:val="00C758E4"/>
    <w:rsid w:val="00C761F5"/>
    <w:rsid w:val="00C76767"/>
    <w:rsid w:val="00C76F98"/>
    <w:rsid w:val="00C772FB"/>
    <w:rsid w:val="00C77EBB"/>
    <w:rsid w:val="00C807C1"/>
    <w:rsid w:val="00C81671"/>
    <w:rsid w:val="00C823EF"/>
    <w:rsid w:val="00C82438"/>
    <w:rsid w:val="00C826D0"/>
    <w:rsid w:val="00C837ED"/>
    <w:rsid w:val="00C83B30"/>
    <w:rsid w:val="00C83C5F"/>
    <w:rsid w:val="00C8416B"/>
    <w:rsid w:val="00C84636"/>
    <w:rsid w:val="00C84B15"/>
    <w:rsid w:val="00C857CC"/>
    <w:rsid w:val="00C85F0E"/>
    <w:rsid w:val="00C86ACE"/>
    <w:rsid w:val="00C86F49"/>
    <w:rsid w:val="00C87781"/>
    <w:rsid w:val="00C877E5"/>
    <w:rsid w:val="00C87C21"/>
    <w:rsid w:val="00C9007C"/>
    <w:rsid w:val="00C91ABB"/>
    <w:rsid w:val="00C91F2E"/>
    <w:rsid w:val="00C932B6"/>
    <w:rsid w:val="00C94987"/>
    <w:rsid w:val="00C949F0"/>
    <w:rsid w:val="00C94CAE"/>
    <w:rsid w:val="00C95381"/>
    <w:rsid w:val="00C9555D"/>
    <w:rsid w:val="00C956C6"/>
    <w:rsid w:val="00C95C81"/>
    <w:rsid w:val="00C95D8E"/>
    <w:rsid w:val="00C95EF9"/>
    <w:rsid w:val="00C96AD8"/>
    <w:rsid w:val="00C9751F"/>
    <w:rsid w:val="00C97896"/>
    <w:rsid w:val="00C97B51"/>
    <w:rsid w:val="00C97F42"/>
    <w:rsid w:val="00CA0733"/>
    <w:rsid w:val="00CA0F15"/>
    <w:rsid w:val="00CA1E46"/>
    <w:rsid w:val="00CA2E58"/>
    <w:rsid w:val="00CA3315"/>
    <w:rsid w:val="00CA36C3"/>
    <w:rsid w:val="00CA4024"/>
    <w:rsid w:val="00CA429A"/>
    <w:rsid w:val="00CA4837"/>
    <w:rsid w:val="00CA4C61"/>
    <w:rsid w:val="00CA51F5"/>
    <w:rsid w:val="00CA53CB"/>
    <w:rsid w:val="00CA5602"/>
    <w:rsid w:val="00CA5666"/>
    <w:rsid w:val="00CA617F"/>
    <w:rsid w:val="00CA6E20"/>
    <w:rsid w:val="00CA7ACA"/>
    <w:rsid w:val="00CA7CE7"/>
    <w:rsid w:val="00CB02A9"/>
    <w:rsid w:val="00CB0CB8"/>
    <w:rsid w:val="00CB0EAA"/>
    <w:rsid w:val="00CB11A9"/>
    <w:rsid w:val="00CB14CC"/>
    <w:rsid w:val="00CB1646"/>
    <w:rsid w:val="00CB2D0A"/>
    <w:rsid w:val="00CB35A4"/>
    <w:rsid w:val="00CB379B"/>
    <w:rsid w:val="00CB3EC6"/>
    <w:rsid w:val="00CB4319"/>
    <w:rsid w:val="00CB4B19"/>
    <w:rsid w:val="00CB542A"/>
    <w:rsid w:val="00CB5B16"/>
    <w:rsid w:val="00CB5E17"/>
    <w:rsid w:val="00CB6692"/>
    <w:rsid w:val="00CB6B94"/>
    <w:rsid w:val="00CB7C86"/>
    <w:rsid w:val="00CC040F"/>
    <w:rsid w:val="00CC05E7"/>
    <w:rsid w:val="00CC083F"/>
    <w:rsid w:val="00CC1A8C"/>
    <w:rsid w:val="00CC1AD5"/>
    <w:rsid w:val="00CC1E2D"/>
    <w:rsid w:val="00CC1EA8"/>
    <w:rsid w:val="00CC3C38"/>
    <w:rsid w:val="00CC4103"/>
    <w:rsid w:val="00CC44C1"/>
    <w:rsid w:val="00CC4780"/>
    <w:rsid w:val="00CC4C26"/>
    <w:rsid w:val="00CC6172"/>
    <w:rsid w:val="00CC63BF"/>
    <w:rsid w:val="00CC6E78"/>
    <w:rsid w:val="00CC7752"/>
    <w:rsid w:val="00CC7A86"/>
    <w:rsid w:val="00CD0764"/>
    <w:rsid w:val="00CD0BDD"/>
    <w:rsid w:val="00CD1033"/>
    <w:rsid w:val="00CD1702"/>
    <w:rsid w:val="00CD1A46"/>
    <w:rsid w:val="00CD25C9"/>
    <w:rsid w:val="00CD2905"/>
    <w:rsid w:val="00CD31FB"/>
    <w:rsid w:val="00CD41BB"/>
    <w:rsid w:val="00CD492A"/>
    <w:rsid w:val="00CD535C"/>
    <w:rsid w:val="00CD541C"/>
    <w:rsid w:val="00CD5A40"/>
    <w:rsid w:val="00CD5A47"/>
    <w:rsid w:val="00CD6B74"/>
    <w:rsid w:val="00CD6C1C"/>
    <w:rsid w:val="00CD6DDC"/>
    <w:rsid w:val="00CD6FDA"/>
    <w:rsid w:val="00CD738C"/>
    <w:rsid w:val="00CD74F3"/>
    <w:rsid w:val="00CE0196"/>
    <w:rsid w:val="00CE03E5"/>
    <w:rsid w:val="00CE0504"/>
    <w:rsid w:val="00CE0F0B"/>
    <w:rsid w:val="00CE10FD"/>
    <w:rsid w:val="00CE1314"/>
    <w:rsid w:val="00CE185F"/>
    <w:rsid w:val="00CE19A7"/>
    <w:rsid w:val="00CE24E8"/>
    <w:rsid w:val="00CE25AD"/>
    <w:rsid w:val="00CE2958"/>
    <w:rsid w:val="00CE30B8"/>
    <w:rsid w:val="00CE314C"/>
    <w:rsid w:val="00CE3F14"/>
    <w:rsid w:val="00CE4CB2"/>
    <w:rsid w:val="00CE521D"/>
    <w:rsid w:val="00CE5485"/>
    <w:rsid w:val="00CE5665"/>
    <w:rsid w:val="00CE5CFD"/>
    <w:rsid w:val="00CE603A"/>
    <w:rsid w:val="00CE7311"/>
    <w:rsid w:val="00CE7377"/>
    <w:rsid w:val="00CE75E5"/>
    <w:rsid w:val="00CE787C"/>
    <w:rsid w:val="00CE7E73"/>
    <w:rsid w:val="00CF02ED"/>
    <w:rsid w:val="00CF03C5"/>
    <w:rsid w:val="00CF168D"/>
    <w:rsid w:val="00CF1A44"/>
    <w:rsid w:val="00CF1C81"/>
    <w:rsid w:val="00CF3DC7"/>
    <w:rsid w:val="00CF46F8"/>
    <w:rsid w:val="00CF4760"/>
    <w:rsid w:val="00CF49B5"/>
    <w:rsid w:val="00CF4E45"/>
    <w:rsid w:val="00CF4F94"/>
    <w:rsid w:val="00CF5032"/>
    <w:rsid w:val="00CF5C9A"/>
    <w:rsid w:val="00CF5CD8"/>
    <w:rsid w:val="00CF607A"/>
    <w:rsid w:val="00CF6856"/>
    <w:rsid w:val="00CF6B7F"/>
    <w:rsid w:val="00CF7077"/>
    <w:rsid w:val="00CF714A"/>
    <w:rsid w:val="00CF7B3D"/>
    <w:rsid w:val="00CF7F74"/>
    <w:rsid w:val="00D00EDA"/>
    <w:rsid w:val="00D012E6"/>
    <w:rsid w:val="00D019A8"/>
    <w:rsid w:val="00D01C2D"/>
    <w:rsid w:val="00D02A9D"/>
    <w:rsid w:val="00D037F9"/>
    <w:rsid w:val="00D03FB3"/>
    <w:rsid w:val="00D04C05"/>
    <w:rsid w:val="00D0635F"/>
    <w:rsid w:val="00D06B97"/>
    <w:rsid w:val="00D06DD0"/>
    <w:rsid w:val="00D10B22"/>
    <w:rsid w:val="00D110A7"/>
    <w:rsid w:val="00D12A12"/>
    <w:rsid w:val="00D12AD3"/>
    <w:rsid w:val="00D131E2"/>
    <w:rsid w:val="00D14F4A"/>
    <w:rsid w:val="00D16255"/>
    <w:rsid w:val="00D1634F"/>
    <w:rsid w:val="00D168F6"/>
    <w:rsid w:val="00D16DD4"/>
    <w:rsid w:val="00D17BE2"/>
    <w:rsid w:val="00D20396"/>
    <w:rsid w:val="00D20CAB"/>
    <w:rsid w:val="00D20F46"/>
    <w:rsid w:val="00D20F73"/>
    <w:rsid w:val="00D2180B"/>
    <w:rsid w:val="00D21ADD"/>
    <w:rsid w:val="00D220A6"/>
    <w:rsid w:val="00D2237F"/>
    <w:rsid w:val="00D2261E"/>
    <w:rsid w:val="00D22C95"/>
    <w:rsid w:val="00D23A0C"/>
    <w:rsid w:val="00D246F8"/>
    <w:rsid w:val="00D24C1B"/>
    <w:rsid w:val="00D2508F"/>
    <w:rsid w:val="00D2520D"/>
    <w:rsid w:val="00D259CC"/>
    <w:rsid w:val="00D266D5"/>
    <w:rsid w:val="00D2737A"/>
    <w:rsid w:val="00D2781B"/>
    <w:rsid w:val="00D27BDD"/>
    <w:rsid w:val="00D27C78"/>
    <w:rsid w:val="00D300D4"/>
    <w:rsid w:val="00D3104A"/>
    <w:rsid w:val="00D31F40"/>
    <w:rsid w:val="00D32272"/>
    <w:rsid w:val="00D32562"/>
    <w:rsid w:val="00D3310B"/>
    <w:rsid w:val="00D338D5"/>
    <w:rsid w:val="00D33932"/>
    <w:rsid w:val="00D343CE"/>
    <w:rsid w:val="00D34638"/>
    <w:rsid w:val="00D3490F"/>
    <w:rsid w:val="00D34B48"/>
    <w:rsid w:val="00D36250"/>
    <w:rsid w:val="00D3706A"/>
    <w:rsid w:val="00D37199"/>
    <w:rsid w:val="00D375C6"/>
    <w:rsid w:val="00D3794F"/>
    <w:rsid w:val="00D409F1"/>
    <w:rsid w:val="00D40ABA"/>
    <w:rsid w:val="00D40D97"/>
    <w:rsid w:val="00D41241"/>
    <w:rsid w:val="00D41774"/>
    <w:rsid w:val="00D41B9A"/>
    <w:rsid w:val="00D422D7"/>
    <w:rsid w:val="00D42810"/>
    <w:rsid w:val="00D43012"/>
    <w:rsid w:val="00D430B0"/>
    <w:rsid w:val="00D44E45"/>
    <w:rsid w:val="00D45771"/>
    <w:rsid w:val="00D46D29"/>
    <w:rsid w:val="00D46EB6"/>
    <w:rsid w:val="00D473EA"/>
    <w:rsid w:val="00D47E6E"/>
    <w:rsid w:val="00D5061E"/>
    <w:rsid w:val="00D51910"/>
    <w:rsid w:val="00D51D0A"/>
    <w:rsid w:val="00D5208E"/>
    <w:rsid w:val="00D526F4"/>
    <w:rsid w:val="00D52D73"/>
    <w:rsid w:val="00D52EBD"/>
    <w:rsid w:val="00D5308A"/>
    <w:rsid w:val="00D535FB"/>
    <w:rsid w:val="00D53B2B"/>
    <w:rsid w:val="00D53CA2"/>
    <w:rsid w:val="00D54A9E"/>
    <w:rsid w:val="00D54CC7"/>
    <w:rsid w:val="00D550AE"/>
    <w:rsid w:val="00D55586"/>
    <w:rsid w:val="00D555C3"/>
    <w:rsid w:val="00D559EE"/>
    <w:rsid w:val="00D55E3E"/>
    <w:rsid w:val="00D56072"/>
    <w:rsid w:val="00D56649"/>
    <w:rsid w:val="00D56C30"/>
    <w:rsid w:val="00D573C1"/>
    <w:rsid w:val="00D57403"/>
    <w:rsid w:val="00D57C3E"/>
    <w:rsid w:val="00D60297"/>
    <w:rsid w:val="00D608A2"/>
    <w:rsid w:val="00D60E41"/>
    <w:rsid w:val="00D613DE"/>
    <w:rsid w:val="00D61817"/>
    <w:rsid w:val="00D61ED5"/>
    <w:rsid w:val="00D624FA"/>
    <w:rsid w:val="00D62545"/>
    <w:rsid w:val="00D63584"/>
    <w:rsid w:val="00D637B3"/>
    <w:rsid w:val="00D64397"/>
    <w:rsid w:val="00D64A47"/>
    <w:rsid w:val="00D65999"/>
    <w:rsid w:val="00D65C1C"/>
    <w:rsid w:val="00D65C35"/>
    <w:rsid w:val="00D66BA1"/>
    <w:rsid w:val="00D67064"/>
    <w:rsid w:val="00D701EC"/>
    <w:rsid w:val="00D706B9"/>
    <w:rsid w:val="00D708D6"/>
    <w:rsid w:val="00D71368"/>
    <w:rsid w:val="00D71D3E"/>
    <w:rsid w:val="00D71E1E"/>
    <w:rsid w:val="00D72C02"/>
    <w:rsid w:val="00D72CBB"/>
    <w:rsid w:val="00D72E73"/>
    <w:rsid w:val="00D72FB8"/>
    <w:rsid w:val="00D7322E"/>
    <w:rsid w:val="00D733BF"/>
    <w:rsid w:val="00D73872"/>
    <w:rsid w:val="00D7408F"/>
    <w:rsid w:val="00D74596"/>
    <w:rsid w:val="00D74A10"/>
    <w:rsid w:val="00D74B15"/>
    <w:rsid w:val="00D75CF9"/>
    <w:rsid w:val="00D76011"/>
    <w:rsid w:val="00D760DE"/>
    <w:rsid w:val="00D7636C"/>
    <w:rsid w:val="00D765D8"/>
    <w:rsid w:val="00D767DB"/>
    <w:rsid w:val="00D772FA"/>
    <w:rsid w:val="00D77929"/>
    <w:rsid w:val="00D80D40"/>
    <w:rsid w:val="00D81084"/>
    <w:rsid w:val="00D81271"/>
    <w:rsid w:val="00D8189A"/>
    <w:rsid w:val="00D82126"/>
    <w:rsid w:val="00D83F78"/>
    <w:rsid w:val="00D84F9B"/>
    <w:rsid w:val="00D85F12"/>
    <w:rsid w:val="00D868D9"/>
    <w:rsid w:val="00D87827"/>
    <w:rsid w:val="00D909F4"/>
    <w:rsid w:val="00D921A2"/>
    <w:rsid w:val="00D92854"/>
    <w:rsid w:val="00D945EE"/>
    <w:rsid w:val="00D94988"/>
    <w:rsid w:val="00D94DD6"/>
    <w:rsid w:val="00D95AE6"/>
    <w:rsid w:val="00D95C5F"/>
    <w:rsid w:val="00D96104"/>
    <w:rsid w:val="00D96B1A"/>
    <w:rsid w:val="00D9753B"/>
    <w:rsid w:val="00D9771C"/>
    <w:rsid w:val="00D97BBE"/>
    <w:rsid w:val="00DA03E9"/>
    <w:rsid w:val="00DA03EB"/>
    <w:rsid w:val="00DA05F6"/>
    <w:rsid w:val="00DA0E2C"/>
    <w:rsid w:val="00DA117F"/>
    <w:rsid w:val="00DA1F1A"/>
    <w:rsid w:val="00DA2489"/>
    <w:rsid w:val="00DA2700"/>
    <w:rsid w:val="00DA28A2"/>
    <w:rsid w:val="00DA46A2"/>
    <w:rsid w:val="00DA76B1"/>
    <w:rsid w:val="00DA789A"/>
    <w:rsid w:val="00DB0DA5"/>
    <w:rsid w:val="00DB100A"/>
    <w:rsid w:val="00DB121C"/>
    <w:rsid w:val="00DB12C7"/>
    <w:rsid w:val="00DB1CB3"/>
    <w:rsid w:val="00DB1FA9"/>
    <w:rsid w:val="00DB5357"/>
    <w:rsid w:val="00DB57A4"/>
    <w:rsid w:val="00DB5CE0"/>
    <w:rsid w:val="00DB6366"/>
    <w:rsid w:val="00DB6472"/>
    <w:rsid w:val="00DB67C8"/>
    <w:rsid w:val="00DB6B50"/>
    <w:rsid w:val="00DB6C8E"/>
    <w:rsid w:val="00DB75CF"/>
    <w:rsid w:val="00DB795B"/>
    <w:rsid w:val="00DC0239"/>
    <w:rsid w:val="00DC0388"/>
    <w:rsid w:val="00DC0855"/>
    <w:rsid w:val="00DC0B43"/>
    <w:rsid w:val="00DC0E2B"/>
    <w:rsid w:val="00DC1075"/>
    <w:rsid w:val="00DC1417"/>
    <w:rsid w:val="00DC14ED"/>
    <w:rsid w:val="00DC28D4"/>
    <w:rsid w:val="00DC2ED6"/>
    <w:rsid w:val="00DC304A"/>
    <w:rsid w:val="00DC37D6"/>
    <w:rsid w:val="00DC486D"/>
    <w:rsid w:val="00DC4BF2"/>
    <w:rsid w:val="00DC4E58"/>
    <w:rsid w:val="00DC51AF"/>
    <w:rsid w:val="00DC51F2"/>
    <w:rsid w:val="00DC5BEC"/>
    <w:rsid w:val="00DC5E08"/>
    <w:rsid w:val="00DC6CBA"/>
    <w:rsid w:val="00DC77EF"/>
    <w:rsid w:val="00DC79AA"/>
    <w:rsid w:val="00DD134F"/>
    <w:rsid w:val="00DD145F"/>
    <w:rsid w:val="00DD1C6D"/>
    <w:rsid w:val="00DD20DA"/>
    <w:rsid w:val="00DD2369"/>
    <w:rsid w:val="00DD414F"/>
    <w:rsid w:val="00DD4D6D"/>
    <w:rsid w:val="00DD51F6"/>
    <w:rsid w:val="00DD6B04"/>
    <w:rsid w:val="00DD6CEB"/>
    <w:rsid w:val="00DD6D90"/>
    <w:rsid w:val="00DD71B8"/>
    <w:rsid w:val="00DD729A"/>
    <w:rsid w:val="00DD73A8"/>
    <w:rsid w:val="00DD73E7"/>
    <w:rsid w:val="00DD78B4"/>
    <w:rsid w:val="00DE0EC0"/>
    <w:rsid w:val="00DE1B14"/>
    <w:rsid w:val="00DE212A"/>
    <w:rsid w:val="00DE216D"/>
    <w:rsid w:val="00DE226B"/>
    <w:rsid w:val="00DE25FB"/>
    <w:rsid w:val="00DE2E10"/>
    <w:rsid w:val="00DE3058"/>
    <w:rsid w:val="00DE3E4F"/>
    <w:rsid w:val="00DE41D2"/>
    <w:rsid w:val="00DE4F88"/>
    <w:rsid w:val="00DE5067"/>
    <w:rsid w:val="00DE5314"/>
    <w:rsid w:val="00DE6E2B"/>
    <w:rsid w:val="00DE78AA"/>
    <w:rsid w:val="00DF04BB"/>
    <w:rsid w:val="00DF1B8A"/>
    <w:rsid w:val="00DF1BA8"/>
    <w:rsid w:val="00DF1E27"/>
    <w:rsid w:val="00DF234F"/>
    <w:rsid w:val="00DF25CE"/>
    <w:rsid w:val="00DF2828"/>
    <w:rsid w:val="00DF2CC5"/>
    <w:rsid w:val="00DF422C"/>
    <w:rsid w:val="00DF4418"/>
    <w:rsid w:val="00DF49F3"/>
    <w:rsid w:val="00DF5A33"/>
    <w:rsid w:val="00DF5E38"/>
    <w:rsid w:val="00DF6293"/>
    <w:rsid w:val="00DF6D66"/>
    <w:rsid w:val="00DF7A1E"/>
    <w:rsid w:val="00E007EA"/>
    <w:rsid w:val="00E01D35"/>
    <w:rsid w:val="00E01F9A"/>
    <w:rsid w:val="00E026A5"/>
    <w:rsid w:val="00E02735"/>
    <w:rsid w:val="00E02AAB"/>
    <w:rsid w:val="00E0326B"/>
    <w:rsid w:val="00E0358F"/>
    <w:rsid w:val="00E042FB"/>
    <w:rsid w:val="00E06BF0"/>
    <w:rsid w:val="00E11593"/>
    <w:rsid w:val="00E118F7"/>
    <w:rsid w:val="00E12160"/>
    <w:rsid w:val="00E12BD0"/>
    <w:rsid w:val="00E135E2"/>
    <w:rsid w:val="00E13726"/>
    <w:rsid w:val="00E1379A"/>
    <w:rsid w:val="00E1397B"/>
    <w:rsid w:val="00E13FA3"/>
    <w:rsid w:val="00E14EDE"/>
    <w:rsid w:val="00E15422"/>
    <w:rsid w:val="00E1574E"/>
    <w:rsid w:val="00E158B3"/>
    <w:rsid w:val="00E15A43"/>
    <w:rsid w:val="00E15D53"/>
    <w:rsid w:val="00E15D5B"/>
    <w:rsid w:val="00E15F97"/>
    <w:rsid w:val="00E16324"/>
    <w:rsid w:val="00E16C54"/>
    <w:rsid w:val="00E16FB9"/>
    <w:rsid w:val="00E17DB3"/>
    <w:rsid w:val="00E2018C"/>
    <w:rsid w:val="00E203C4"/>
    <w:rsid w:val="00E214F4"/>
    <w:rsid w:val="00E230A8"/>
    <w:rsid w:val="00E2376A"/>
    <w:rsid w:val="00E248C7"/>
    <w:rsid w:val="00E25B41"/>
    <w:rsid w:val="00E307AF"/>
    <w:rsid w:val="00E30F31"/>
    <w:rsid w:val="00E31180"/>
    <w:rsid w:val="00E312A5"/>
    <w:rsid w:val="00E31AA8"/>
    <w:rsid w:val="00E322E4"/>
    <w:rsid w:val="00E32720"/>
    <w:rsid w:val="00E32B46"/>
    <w:rsid w:val="00E32D9A"/>
    <w:rsid w:val="00E32F97"/>
    <w:rsid w:val="00E333D8"/>
    <w:rsid w:val="00E3388F"/>
    <w:rsid w:val="00E339E9"/>
    <w:rsid w:val="00E33B57"/>
    <w:rsid w:val="00E33C0B"/>
    <w:rsid w:val="00E33E27"/>
    <w:rsid w:val="00E34E83"/>
    <w:rsid w:val="00E3528A"/>
    <w:rsid w:val="00E355AF"/>
    <w:rsid w:val="00E35ABB"/>
    <w:rsid w:val="00E364D2"/>
    <w:rsid w:val="00E36A17"/>
    <w:rsid w:val="00E372DA"/>
    <w:rsid w:val="00E37B49"/>
    <w:rsid w:val="00E37BA6"/>
    <w:rsid w:val="00E40E37"/>
    <w:rsid w:val="00E42193"/>
    <w:rsid w:val="00E438A5"/>
    <w:rsid w:val="00E44422"/>
    <w:rsid w:val="00E44C01"/>
    <w:rsid w:val="00E44EF8"/>
    <w:rsid w:val="00E45889"/>
    <w:rsid w:val="00E45E8E"/>
    <w:rsid w:val="00E46F4A"/>
    <w:rsid w:val="00E47B46"/>
    <w:rsid w:val="00E50463"/>
    <w:rsid w:val="00E506DA"/>
    <w:rsid w:val="00E50942"/>
    <w:rsid w:val="00E50DBD"/>
    <w:rsid w:val="00E526C7"/>
    <w:rsid w:val="00E53493"/>
    <w:rsid w:val="00E536BC"/>
    <w:rsid w:val="00E53FDA"/>
    <w:rsid w:val="00E54D07"/>
    <w:rsid w:val="00E54FFD"/>
    <w:rsid w:val="00E5500F"/>
    <w:rsid w:val="00E551CD"/>
    <w:rsid w:val="00E55292"/>
    <w:rsid w:val="00E5570F"/>
    <w:rsid w:val="00E55BD8"/>
    <w:rsid w:val="00E56496"/>
    <w:rsid w:val="00E578BD"/>
    <w:rsid w:val="00E57C3C"/>
    <w:rsid w:val="00E57DCE"/>
    <w:rsid w:val="00E60A66"/>
    <w:rsid w:val="00E60B8C"/>
    <w:rsid w:val="00E60BA1"/>
    <w:rsid w:val="00E623AC"/>
    <w:rsid w:val="00E62487"/>
    <w:rsid w:val="00E6290E"/>
    <w:rsid w:val="00E62D87"/>
    <w:rsid w:val="00E63788"/>
    <w:rsid w:val="00E6380C"/>
    <w:rsid w:val="00E6450D"/>
    <w:rsid w:val="00E650BA"/>
    <w:rsid w:val="00E650CB"/>
    <w:rsid w:val="00E668D6"/>
    <w:rsid w:val="00E67A0D"/>
    <w:rsid w:val="00E67B29"/>
    <w:rsid w:val="00E7093E"/>
    <w:rsid w:val="00E70C5E"/>
    <w:rsid w:val="00E70EB2"/>
    <w:rsid w:val="00E7135E"/>
    <w:rsid w:val="00E71930"/>
    <w:rsid w:val="00E720E1"/>
    <w:rsid w:val="00E72746"/>
    <w:rsid w:val="00E72BE4"/>
    <w:rsid w:val="00E72F2C"/>
    <w:rsid w:val="00E734FD"/>
    <w:rsid w:val="00E73574"/>
    <w:rsid w:val="00E74048"/>
    <w:rsid w:val="00E7528A"/>
    <w:rsid w:val="00E75EF4"/>
    <w:rsid w:val="00E7601B"/>
    <w:rsid w:val="00E7607B"/>
    <w:rsid w:val="00E76EE0"/>
    <w:rsid w:val="00E76FE2"/>
    <w:rsid w:val="00E776C5"/>
    <w:rsid w:val="00E77BEF"/>
    <w:rsid w:val="00E77D4B"/>
    <w:rsid w:val="00E80187"/>
    <w:rsid w:val="00E813CF"/>
    <w:rsid w:val="00E81C4C"/>
    <w:rsid w:val="00E8276C"/>
    <w:rsid w:val="00E82BB1"/>
    <w:rsid w:val="00E832EE"/>
    <w:rsid w:val="00E84868"/>
    <w:rsid w:val="00E84A47"/>
    <w:rsid w:val="00E84DD2"/>
    <w:rsid w:val="00E84FDC"/>
    <w:rsid w:val="00E85051"/>
    <w:rsid w:val="00E8564D"/>
    <w:rsid w:val="00E85ADD"/>
    <w:rsid w:val="00E86484"/>
    <w:rsid w:val="00E864B3"/>
    <w:rsid w:val="00E86665"/>
    <w:rsid w:val="00E8671F"/>
    <w:rsid w:val="00E8710E"/>
    <w:rsid w:val="00E87326"/>
    <w:rsid w:val="00E87701"/>
    <w:rsid w:val="00E909C7"/>
    <w:rsid w:val="00E91B54"/>
    <w:rsid w:val="00E928F9"/>
    <w:rsid w:val="00E92D64"/>
    <w:rsid w:val="00E92DFF"/>
    <w:rsid w:val="00E93524"/>
    <w:rsid w:val="00E93B6F"/>
    <w:rsid w:val="00E93F7D"/>
    <w:rsid w:val="00E95024"/>
    <w:rsid w:val="00E95047"/>
    <w:rsid w:val="00E95080"/>
    <w:rsid w:val="00E95D7C"/>
    <w:rsid w:val="00E95DFD"/>
    <w:rsid w:val="00E96C81"/>
    <w:rsid w:val="00E97DAC"/>
    <w:rsid w:val="00EA0FFE"/>
    <w:rsid w:val="00EA23E0"/>
    <w:rsid w:val="00EA294F"/>
    <w:rsid w:val="00EA2CCC"/>
    <w:rsid w:val="00EA33F4"/>
    <w:rsid w:val="00EA3441"/>
    <w:rsid w:val="00EA34A6"/>
    <w:rsid w:val="00EA4097"/>
    <w:rsid w:val="00EA424F"/>
    <w:rsid w:val="00EA588B"/>
    <w:rsid w:val="00EA5CAD"/>
    <w:rsid w:val="00EA622F"/>
    <w:rsid w:val="00EA6414"/>
    <w:rsid w:val="00EA691B"/>
    <w:rsid w:val="00EB0DE6"/>
    <w:rsid w:val="00EB10A5"/>
    <w:rsid w:val="00EB1103"/>
    <w:rsid w:val="00EB175D"/>
    <w:rsid w:val="00EB1AA2"/>
    <w:rsid w:val="00EB1BD5"/>
    <w:rsid w:val="00EB1D23"/>
    <w:rsid w:val="00EB38F5"/>
    <w:rsid w:val="00EB4037"/>
    <w:rsid w:val="00EB44E7"/>
    <w:rsid w:val="00EB5052"/>
    <w:rsid w:val="00EB5BE9"/>
    <w:rsid w:val="00EB5E2D"/>
    <w:rsid w:val="00EB688C"/>
    <w:rsid w:val="00EB6F5D"/>
    <w:rsid w:val="00EB75B3"/>
    <w:rsid w:val="00EC0637"/>
    <w:rsid w:val="00EC0730"/>
    <w:rsid w:val="00EC0ACD"/>
    <w:rsid w:val="00EC106A"/>
    <w:rsid w:val="00EC1471"/>
    <w:rsid w:val="00EC1643"/>
    <w:rsid w:val="00EC1B4B"/>
    <w:rsid w:val="00EC1BB9"/>
    <w:rsid w:val="00EC1E98"/>
    <w:rsid w:val="00EC278D"/>
    <w:rsid w:val="00EC2C1A"/>
    <w:rsid w:val="00EC2C2E"/>
    <w:rsid w:val="00EC2FF5"/>
    <w:rsid w:val="00EC334C"/>
    <w:rsid w:val="00EC3631"/>
    <w:rsid w:val="00EC47ED"/>
    <w:rsid w:val="00EC4B0E"/>
    <w:rsid w:val="00EC5BC1"/>
    <w:rsid w:val="00EC6EAA"/>
    <w:rsid w:val="00EC7813"/>
    <w:rsid w:val="00ED03F5"/>
    <w:rsid w:val="00ED0536"/>
    <w:rsid w:val="00ED068D"/>
    <w:rsid w:val="00ED109D"/>
    <w:rsid w:val="00ED152E"/>
    <w:rsid w:val="00ED1566"/>
    <w:rsid w:val="00ED1964"/>
    <w:rsid w:val="00ED1D30"/>
    <w:rsid w:val="00ED2A2A"/>
    <w:rsid w:val="00ED2F21"/>
    <w:rsid w:val="00ED3B68"/>
    <w:rsid w:val="00ED42FC"/>
    <w:rsid w:val="00ED4F25"/>
    <w:rsid w:val="00ED53EC"/>
    <w:rsid w:val="00ED5A00"/>
    <w:rsid w:val="00ED6F07"/>
    <w:rsid w:val="00ED7431"/>
    <w:rsid w:val="00ED757E"/>
    <w:rsid w:val="00ED78AE"/>
    <w:rsid w:val="00EE02AA"/>
    <w:rsid w:val="00EE1CF1"/>
    <w:rsid w:val="00EE1DA9"/>
    <w:rsid w:val="00EE2354"/>
    <w:rsid w:val="00EE285F"/>
    <w:rsid w:val="00EE2BAB"/>
    <w:rsid w:val="00EE2F3C"/>
    <w:rsid w:val="00EE320A"/>
    <w:rsid w:val="00EE338A"/>
    <w:rsid w:val="00EE4BBD"/>
    <w:rsid w:val="00EE4C2A"/>
    <w:rsid w:val="00EE5EB9"/>
    <w:rsid w:val="00EE6A1D"/>
    <w:rsid w:val="00EE6BF1"/>
    <w:rsid w:val="00EE70CC"/>
    <w:rsid w:val="00EF034C"/>
    <w:rsid w:val="00EF0564"/>
    <w:rsid w:val="00EF08BD"/>
    <w:rsid w:val="00EF14FD"/>
    <w:rsid w:val="00EF1746"/>
    <w:rsid w:val="00EF26A8"/>
    <w:rsid w:val="00EF2F1B"/>
    <w:rsid w:val="00EF37FE"/>
    <w:rsid w:val="00EF4771"/>
    <w:rsid w:val="00EF534E"/>
    <w:rsid w:val="00EF60CD"/>
    <w:rsid w:val="00EF610B"/>
    <w:rsid w:val="00EF70FE"/>
    <w:rsid w:val="00EF725B"/>
    <w:rsid w:val="00EF7825"/>
    <w:rsid w:val="00F0004E"/>
    <w:rsid w:val="00F00068"/>
    <w:rsid w:val="00F0076E"/>
    <w:rsid w:val="00F00857"/>
    <w:rsid w:val="00F012B7"/>
    <w:rsid w:val="00F0177F"/>
    <w:rsid w:val="00F017A6"/>
    <w:rsid w:val="00F01D09"/>
    <w:rsid w:val="00F02137"/>
    <w:rsid w:val="00F0232E"/>
    <w:rsid w:val="00F02EE8"/>
    <w:rsid w:val="00F04B31"/>
    <w:rsid w:val="00F059E4"/>
    <w:rsid w:val="00F05EBE"/>
    <w:rsid w:val="00F05FB2"/>
    <w:rsid w:val="00F061A7"/>
    <w:rsid w:val="00F06786"/>
    <w:rsid w:val="00F071AC"/>
    <w:rsid w:val="00F07372"/>
    <w:rsid w:val="00F076B8"/>
    <w:rsid w:val="00F10150"/>
    <w:rsid w:val="00F10B01"/>
    <w:rsid w:val="00F13854"/>
    <w:rsid w:val="00F1387A"/>
    <w:rsid w:val="00F148F2"/>
    <w:rsid w:val="00F15FBA"/>
    <w:rsid w:val="00F161FB"/>
    <w:rsid w:val="00F16658"/>
    <w:rsid w:val="00F16CE5"/>
    <w:rsid w:val="00F16F75"/>
    <w:rsid w:val="00F173DA"/>
    <w:rsid w:val="00F175EB"/>
    <w:rsid w:val="00F176DD"/>
    <w:rsid w:val="00F17D7E"/>
    <w:rsid w:val="00F200FE"/>
    <w:rsid w:val="00F20153"/>
    <w:rsid w:val="00F216BE"/>
    <w:rsid w:val="00F2194C"/>
    <w:rsid w:val="00F21D3D"/>
    <w:rsid w:val="00F23BF0"/>
    <w:rsid w:val="00F23BFC"/>
    <w:rsid w:val="00F23D4A"/>
    <w:rsid w:val="00F24193"/>
    <w:rsid w:val="00F248C2"/>
    <w:rsid w:val="00F248D8"/>
    <w:rsid w:val="00F24DCA"/>
    <w:rsid w:val="00F260BE"/>
    <w:rsid w:val="00F26E69"/>
    <w:rsid w:val="00F30405"/>
    <w:rsid w:val="00F30D41"/>
    <w:rsid w:val="00F30E72"/>
    <w:rsid w:val="00F31564"/>
    <w:rsid w:val="00F31C50"/>
    <w:rsid w:val="00F325D6"/>
    <w:rsid w:val="00F326D1"/>
    <w:rsid w:val="00F32889"/>
    <w:rsid w:val="00F32B74"/>
    <w:rsid w:val="00F32EA2"/>
    <w:rsid w:val="00F33637"/>
    <w:rsid w:val="00F33777"/>
    <w:rsid w:val="00F33F8E"/>
    <w:rsid w:val="00F3414A"/>
    <w:rsid w:val="00F341FA"/>
    <w:rsid w:val="00F34688"/>
    <w:rsid w:val="00F3696A"/>
    <w:rsid w:val="00F36BE9"/>
    <w:rsid w:val="00F4065C"/>
    <w:rsid w:val="00F4069E"/>
    <w:rsid w:val="00F4113A"/>
    <w:rsid w:val="00F414B3"/>
    <w:rsid w:val="00F41D30"/>
    <w:rsid w:val="00F41F3E"/>
    <w:rsid w:val="00F423A9"/>
    <w:rsid w:val="00F4268D"/>
    <w:rsid w:val="00F438CA"/>
    <w:rsid w:val="00F4492C"/>
    <w:rsid w:val="00F45C5B"/>
    <w:rsid w:val="00F474BA"/>
    <w:rsid w:val="00F47C6C"/>
    <w:rsid w:val="00F47C9C"/>
    <w:rsid w:val="00F500BE"/>
    <w:rsid w:val="00F504CD"/>
    <w:rsid w:val="00F5095D"/>
    <w:rsid w:val="00F5098E"/>
    <w:rsid w:val="00F514A4"/>
    <w:rsid w:val="00F5150B"/>
    <w:rsid w:val="00F520C9"/>
    <w:rsid w:val="00F52CB5"/>
    <w:rsid w:val="00F52DAB"/>
    <w:rsid w:val="00F5343E"/>
    <w:rsid w:val="00F53DCB"/>
    <w:rsid w:val="00F53E27"/>
    <w:rsid w:val="00F541E7"/>
    <w:rsid w:val="00F54719"/>
    <w:rsid w:val="00F54ACB"/>
    <w:rsid w:val="00F54E12"/>
    <w:rsid w:val="00F550CB"/>
    <w:rsid w:val="00F55608"/>
    <w:rsid w:val="00F561FE"/>
    <w:rsid w:val="00F56D7B"/>
    <w:rsid w:val="00F56FF9"/>
    <w:rsid w:val="00F5700F"/>
    <w:rsid w:val="00F573CC"/>
    <w:rsid w:val="00F5773D"/>
    <w:rsid w:val="00F606CF"/>
    <w:rsid w:val="00F6075D"/>
    <w:rsid w:val="00F6097C"/>
    <w:rsid w:val="00F617B3"/>
    <w:rsid w:val="00F61A4D"/>
    <w:rsid w:val="00F62589"/>
    <w:rsid w:val="00F637F9"/>
    <w:rsid w:val="00F6388B"/>
    <w:rsid w:val="00F63A1C"/>
    <w:rsid w:val="00F63FF2"/>
    <w:rsid w:val="00F64D3B"/>
    <w:rsid w:val="00F64F67"/>
    <w:rsid w:val="00F6516E"/>
    <w:rsid w:val="00F6541F"/>
    <w:rsid w:val="00F66085"/>
    <w:rsid w:val="00F661B0"/>
    <w:rsid w:val="00F665FB"/>
    <w:rsid w:val="00F66E56"/>
    <w:rsid w:val="00F66E7D"/>
    <w:rsid w:val="00F672DE"/>
    <w:rsid w:val="00F67608"/>
    <w:rsid w:val="00F679A0"/>
    <w:rsid w:val="00F67A66"/>
    <w:rsid w:val="00F70078"/>
    <w:rsid w:val="00F7103F"/>
    <w:rsid w:val="00F71605"/>
    <w:rsid w:val="00F71DF5"/>
    <w:rsid w:val="00F72EDC"/>
    <w:rsid w:val="00F7303D"/>
    <w:rsid w:val="00F73394"/>
    <w:rsid w:val="00F7353E"/>
    <w:rsid w:val="00F735E5"/>
    <w:rsid w:val="00F737FA"/>
    <w:rsid w:val="00F73F27"/>
    <w:rsid w:val="00F7457F"/>
    <w:rsid w:val="00F74ACF"/>
    <w:rsid w:val="00F75E39"/>
    <w:rsid w:val="00F76394"/>
    <w:rsid w:val="00F764B5"/>
    <w:rsid w:val="00F76592"/>
    <w:rsid w:val="00F76B6D"/>
    <w:rsid w:val="00F771C3"/>
    <w:rsid w:val="00F774B2"/>
    <w:rsid w:val="00F774CF"/>
    <w:rsid w:val="00F77B52"/>
    <w:rsid w:val="00F803DD"/>
    <w:rsid w:val="00F806E7"/>
    <w:rsid w:val="00F8138A"/>
    <w:rsid w:val="00F81B26"/>
    <w:rsid w:val="00F81B82"/>
    <w:rsid w:val="00F83B4B"/>
    <w:rsid w:val="00F84078"/>
    <w:rsid w:val="00F85072"/>
    <w:rsid w:val="00F85D43"/>
    <w:rsid w:val="00F86453"/>
    <w:rsid w:val="00F86F8B"/>
    <w:rsid w:val="00F87F91"/>
    <w:rsid w:val="00F91B2B"/>
    <w:rsid w:val="00F921E4"/>
    <w:rsid w:val="00F92E7B"/>
    <w:rsid w:val="00F94D31"/>
    <w:rsid w:val="00F95D4E"/>
    <w:rsid w:val="00F95DCB"/>
    <w:rsid w:val="00F9656B"/>
    <w:rsid w:val="00F9688A"/>
    <w:rsid w:val="00F97233"/>
    <w:rsid w:val="00FA05D8"/>
    <w:rsid w:val="00FA0921"/>
    <w:rsid w:val="00FA2236"/>
    <w:rsid w:val="00FA22AF"/>
    <w:rsid w:val="00FA3BFC"/>
    <w:rsid w:val="00FA4281"/>
    <w:rsid w:val="00FA4641"/>
    <w:rsid w:val="00FA4661"/>
    <w:rsid w:val="00FA49F8"/>
    <w:rsid w:val="00FA5447"/>
    <w:rsid w:val="00FA55D8"/>
    <w:rsid w:val="00FA673D"/>
    <w:rsid w:val="00FB009D"/>
    <w:rsid w:val="00FB0E77"/>
    <w:rsid w:val="00FB103B"/>
    <w:rsid w:val="00FB26CA"/>
    <w:rsid w:val="00FB2DD3"/>
    <w:rsid w:val="00FB39EA"/>
    <w:rsid w:val="00FB3B5C"/>
    <w:rsid w:val="00FB4086"/>
    <w:rsid w:val="00FB4B57"/>
    <w:rsid w:val="00FB5B32"/>
    <w:rsid w:val="00FB5D05"/>
    <w:rsid w:val="00FB5D41"/>
    <w:rsid w:val="00FB65E2"/>
    <w:rsid w:val="00FB69E9"/>
    <w:rsid w:val="00FB6BBD"/>
    <w:rsid w:val="00FB6F73"/>
    <w:rsid w:val="00FB744D"/>
    <w:rsid w:val="00FB7661"/>
    <w:rsid w:val="00FB7EEA"/>
    <w:rsid w:val="00FC0E5A"/>
    <w:rsid w:val="00FC176A"/>
    <w:rsid w:val="00FC184C"/>
    <w:rsid w:val="00FC1CA1"/>
    <w:rsid w:val="00FC4ADE"/>
    <w:rsid w:val="00FC4E1F"/>
    <w:rsid w:val="00FC5EB0"/>
    <w:rsid w:val="00FC682B"/>
    <w:rsid w:val="00FC6DA6"/>
    <w:rsid w:val="00FC6FF4"/>
    <w:rsid w:val="00FC7912"/>
    <w:rsid w:val="00FD1339"/>
    <w:rsid w:val="00FD1E4B"/>
    <w:rsid w:val="00FD1F48"/>
    <w:rsid w:val="00FD1F68"/>
    <w:rsid w:val="00FD22A7"/>
    <w:rsid w:val="00FD2516"/>
    <w:rsid w:val="00FD303A"/>
    <w:rsid w:val="00FD37BA"/>
    <w:rsid w:val="00FD3F7B"/>
    <w:rsid w:val="00FD4034"/>
    <w:rsid w:val="00FD4255"/>
    <w:rsid w:val="00FD497C"/>
    <w:rsid w:val="00FD4994"/>
    <w:rsid w:val="00FD4A61"/>
    <w:rsid w:val="00FD4A6C"/>
    <w:rsid w:val="00FD4C09"/>
    <w:rsid w:val="00FD5588"/>
    <w:rsid w:val="00FD61B8"/>
    <w:rsid w:val="00FD6448"/>
    <w:rsid w:val="00FD7242"/>
    <w:rsid w:val="00FE01BF"/>
    <w:rsid w:val="00FE110A"/>
    <w:rsid w:val="00FE1C12"/>
    <w:rsid w:val="00FE2B96"/>
    <w:rsid w:val="00FE2E24"/>
    <w:rsid w:val="00FE47B4"/>
    <w:rsid w:val="00FE4DFA"/>
    <w:rsid w:val="00FE54DE"/>
    <w:rsid w:val="00FE55E3"/>
    <w:rsid w:val="00FE60C6"/>
    <w:rsid w:val="00FE78D4"/>
    <w:rsid w:val="00FF003E"/>
    <w:rsid w:val="00FF1607"/>
    <w:rsid w:val="00FF1A26"/>
    <w:rsid w:val="00FF25ED"/>
    <w:rsid w:val="00FF2D4C"/>
    <w:rsid w:val="00FF2D76"/>
    <w:rsid w:val="00FF41C9"/>
    <w:rsid w:val="00FF5186"/>
    <w:rsid w:val="00FF55FB"/>
    <w:rsid w:val="00FF5BBC"/>
    <w:rsid w:val="00FF7004"/>
    <w:rsid w:val="00FF7993"/>
    <w:rsid w:val="00FF7FC5"/>
  </w:rsids>
  <m:mathPr>
    <m:mathFont m:val="Cambria Math"/>
    <m:brkBin m:val="before"/>
    <m:brkBinSub m:val="--"/>
    <m:smallFrac m:val="off"/>
    <m:dispDef/>
    <m:lMargin m:val="0"/>
    <m:rMargin m:val="0"/>
    <m:defJc m:val="centerGroup"/>
    <m:wrapIndent m:val="1440"/>
    <m:intLim m:val="subSup"/>
    <m:naryLim m:val="undOvr"/>
  </m:mathPr>
  <w:uiCompat97To2003/>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25"/>
    <w:rPr>
      <w:lang w:val="en-US" w:eastAsia="en-US"/>
    </w:rPr>
  </w:style>
  <w:style w:type="paragraph" w:styleId="Heading1">
    <w:name w:val="heading 1"/>
    <w:basedOn w:val="Normal"/>
    <w:next w:val="Normal"/>
    <w:link w:val="Heading1Char"/>
    <w:uiPriority w:val="99"/>
    <w:qFormat/>
    <w:rsid w:val="00A57825"/>
    <w:pPr>
      <w:keepNext/>
      <w:outlineLvl w:val="0"/>
    </w:pPr>
    <w:rPr>
      <w:u w:val="single"/>
    </w:rPr>
  </w:style>
  <w:style w:type="paragraph" w:styleId="Heading2">
    <w:name w:val="heading 2"/>
    <w:basedOn w:val="Normal"/>
    <w:next w:val="Normal"/>
    <w:link w:val="Heading2Char"/>
    <w:uiPriority w:val="99"/>
    <w:qFormat/>
    <w:rsid w:val="00A57825"/>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D6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13D63"/>
    <w:rPr>
      <w:rFonts w:ascii="Cambria" w:eastAsia="Times New Roman" w:hAnsi="Cambria" w:cs="Times New Roman"/>
      <w:b/>
      <w:bCs/>
      <w:i/>
      <w:iCs/>
      <w:sz w:val="28"/>
      <w:szCs w:val="28"/>
    </w:rPr>
  </w:style>
  <w:style w:type="paragraph" w:styleId="BodyTextIndent">
    <w:name w:val="Body Text Indent"/>
    <w:basedOn w:val="Normal"/>
    <w:link w:val="BodyTextIndentChar"/>
    <w:uiPriority w:val="99"/>
    <w:rsid w:val="00A57825"/>
    <w:pPr>
      <w:ind w:left="720"/>
    </w:pPr>
  </w:style>
  <w:style w:type="character" w:customStyle="1" w:styleId="BodyTextIndentChar">
    <w:name w:val="Body Text Indent Char"/>
    <w:basedOn w:val="DefaultParagraphFont"/>
    <w:link w:val="BodyTextIndent"/>
    <w:uiPriority w:val="99"/>
    <w:semiHidden/>
    <w:rsid w:val="00F13D63"/>
    <w:rPr>
      <w:sz w:val="20"/>
      <w:szCs w:val="20"/>
    </w:rPr>
  </w:style>
  <w:style w:type="paragraph" w:styleId="Header">
    <w:name w:val="header"/>
    <w:basedOn w:val="Normal"/>
    <w:link w:val="HeaderChar"/>
    <w:uiPriority w:val="99"/>
    <w:rsid w:val="00A57825"/>
    <w:pPr>
      <w:tabs>
        <w:tab w:val="center" w:pos="4320"/>
        <w:tab w:val="right" w:pos="8640"/>
      </w:tabs>
    </w:pPr>
  </w:style>
  <w:style w:type="character" w:customStyle="1" w:styleId="HeaderChar">
    <w:name w:val="Header Char"/>
    <w:basedOn w:val="DefaultParagraphFont"/>
    <w:link w:val="Header"/>
    <w:uiPriority w:val="99"/>
    <w:semiHidden/>
    <w:rsid w:val="00F13D63"/>
    <w:rPr>
      <w:sz w:val="20"/>
      <w:szCs w:val="20"/>
    </w:rPr>
  </w:style>
  <w:style w:type="paragraph" w:styleId="Footer">
    <w:name w:val="footer"/>
    <w:basedOn w:val="Normal"/>
    <w:link w:val="FooterChar"/>
    <w:uiPriority w:val="99"/>
    <w:rsid w:val="00A57825"/>
    <w:pPr>
      <w:tabs>
        <w:tab w:val="center" w:pos="4320"/>
        <w:tab w:val="right" w:pos="8640"/>
      </w:tabs>
    </w:pPr>
  </w:style>
  <w:style w:type="character" w:customStyle="1" w:styleId="FooterChar">
    <w:name w:val="Footer Char"/>
    <w:basedOn w:val="DefaultParagraphFont"/>
    <w:link w:val="Footer"/>
    <w:uiPriority w:val="99"/>
    <w:locked/>
    <w:rsid w:val="00811A40"/>
    <w:rPr>
      <w:rFonts w:cs="Times New Roman"/>
      <w:lang w:val="en-US" w:eastAsia="en-US"/>
    </w:rPr>
  </w:style>
  <w:style w:type="character" w:styleId="PageNumber">
    <w:name w:val="page number"/>
    <w:basedOn w:val="DefaultParagraphFont"/>
    <w:uiPriority w:val="99"/>
    <w:rsid w:val="00A57825"/>
    <w:rPr>
      <w:rFonts w:cs="Times New Roman"/>
    </w:rPr>
  </w:style>
  <w:style w:type="paragraph" w:styleId="BodyText">
    <w:name w:val="Body Text"/>
    <w:basedOn w:val="Normal"/>
    <w:link w:val="BodyTextChar"/>
    <w:uiPriority w:val="99"/>
    <w:rsid w:val="00A57825"/>
    <w:pPr>
      <w:jc w:val="both"/>
    </w:pPr>
    <w:rPr>
      <w:sz w:val="24"/>
    </w:rPr>
  </w:style>
  <w:style w:type="character" w:customStyle="1" w:styleId="BodyTextChar">
    <w:name w:val="Body Text Char"/>
    <w:basedOn w:val="DefaultParagraphFont"/>
    <w:link w:val="BodyText"/>
    <w:uiPriority w:val="99"/>
    <w:semiHidden/>
    <w:rsid w:val="00F13D63"/>
    <w:rPr>
      <w:sz w:val="20"/>
      <w:szCs w:val="20"/>
    </w:rPr>
  </w:style>
  <w:style w:type="paragraph" w:styleId="Title">
    <w:name w:val="Title"/>
    <w:basedOn w:val="Normal"/>
    <w:link w:val="TitleChar"/>
    <w:uiPriority w:val="99"/>
    <w:qFormat/>
    <w:rsid w:val="00BE5F21"/>
    <w:pPr>
      <w:autoSpaceDE w:val="0"/>
      <w:autoSpaceDN w:val="0"/>
      <w:adjustRightInd w:val="0"/>
      <w:jc w:val="center"/>
    </w:pPr>
    <w:rPr>
      <w:rFonts w:ascii="Arial" w:hAnsi="Arial" w:cs="Arial"/>
      <w:b/>
      <w:bCs/>
      <w:sz w:val="22"/>
      <w:szCs w:val="22"/>
      <w:lang w:val="en-GB"/>
    </w:rPr>
  </w:style>
  <w:style w:type="character" w:customStyle="1" w:styleId="TitleChar">
    <w:name w:val="Title Char"/>
    <w:basedOn w:val="DefaultParagraphFont"/>
    <w:link w:val="Title"/>
    <w:uiPriority w:val="10"/>
    <w:rsid w:val="00F13D63"/>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125E81"/>
    <w:rPr>
      <w:rFonts w:ascii="Tahoma" w:hAnsi="Tahoma" w:cs="Tahoma"/>
      <w:sz w:val="16"/>
      <w:szCs w:val="16"/>
    </w:rPr>
  </w:style>
  <w:style w:type="character" w:customStyle="1" w:styleId="BalloonTextChar">
    <w:name w:val="Balloon Text Char"/>
    <w:basedOn w:val="DefaultParagraphFont"/>
    <w:link w:val="BalloonText"/>
    <w:uiPriority w:val="99"/>
    <w:semiHidden/>
    <w:rsid w:val="00F13D63"/>
    <w:rPr>
      <w:sz w:val="0"/>
      <w:szCs w:val="0"/>
    </w:rPr>
  </w:style>
  <w:style w:type="paragraph" w:styleId="BodyTextIndent2">
    <w:name w:val="Body Text Indent 2"/>
    <w:basedOn w:val="Normal"/>
    <w:link w:val="BodyTextIndent2Char"/>
    <w:uiPriority w:val="99"/>
    <w:rsid w:val="00825228"/>
    <w:pPr>
      <w:spacing w:after="120" w:line="480" w:lineRule="auto"/>
      <w:ind w:left="360"/>
    </w:pPr>
  </w:style>
  <w:style w:type="character" w:customStyle="1" w:styleId="BodyTextIndent2Char">
    <w:name w:val="Body Text Indent 2 Char"/>
    <w:basedOn w:val="DefaultParagraphFont"/>
    <w:link w:val="BodyTextIndent2"/>
    <w:uiPriority w:val="99"/>
    <w:semiHidden/>
    <w:rsid w:val="00F13D63"/>
    <w:rPr>
      <w:sz w:val="20"/>
      <w:szCs w:val="20"/>
    </w:rPr>
  </w:style>
  <w:style w:type="paragraph" w:styleId="BodyTextIndent3">
    <w:name w:val="Body Text Indent 3"/>
    <w:basedOn w:val="Normal"/>
    <w:link w:val="BodyTextIndent3Char"/>
    <w:uiPriority w:val="99"/>
    <w:rsid w:val="005B09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3D63"/>
    <w:rPr>
      <w:sz w:val="16"/>
      <w:szCs w:val="16"/>
    </w:rPr>
  </w:style>
  <w:style w:type="table" w:styleId="TableGrid">
    <w:name w:val="Table Grid"/>
    <w:basedOn w:val="TableNormal"/>
    <w:uiPriority w:val="99"/>
    <w:rsid w:val="005B0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A03EB"/>
    <w:rPr>
      <w:rFonts w:cs="Times New Roman"/>
      <w:sz w:val="16"/>
      <w:szCs w:val="16"/>
    </w:rPr>
  </w:style>
  <w:style w:type="paragraph" w:styleId="CommentText">
    <w:name w:val="annotation text"/>
    <w:basedOn w:val="Normal"/>
    <w:link w:val="CommentTextChar"/>
    <w:uiPriority w:val="99"/>
    <w:semiHidden/>
    <w:rsid w:val="00DA03EB"/>
  </w:style>
  <w:style w:type="character" w:customStyle="1" w:styleId="CommentTextChar">
    <w:name w:val="Comment Text Char"/>
    <w:basedOn w:val="DefaultParagraphFont"/>
    <w:link w:val="CommentText"/>
    <w:uiPriority w:val="99"/>
    <w:semiHidden/>
    <w:rsid w:val="00F13D63"/>
    <w:rPr>
      <w:sz w:val="20"/>
      <w:szCs w:val="20"/>
    </w:rPr>
  </w:style>
  <w:style w:type="paragraph" w:styleId="CommentSubject">
    <w:name w:val="annotation subject"/>
    <w:basedOn w:val="CommentText"/>
    <w:next w:val="CommentText"/>
    <w:link w:val="CommentSubjectChar"/>
    <w:uiPriority w:val="99"/>
    <w:semiHidden/>
    <w:rsid w:val="00DA03EB"/>
    <w:rPr>
      <w:b/>
      <w:bCs/>
    </w:rPr>
  </w:style>
  <w:style w:type="character" w:customStyle="1" w:styleId="CommentSubjectChar">
    <w:name w:val="Comment Subject Char"/>
    <w:basedOn w:val="CommentTextChar"/>
    <w:link w:val="CommentSubject"/>
    <w:uiPriority w:val="99"/>
    <w:semiHidden/>
    <w:rsid w:val="00F13D63"/>
    <w:rPr>
      <w:b/>
      <w:bCs/>
    </w:rPr>
  </w:style>
  <w:style w:type="paragraph" w:styleId="ListParagraph">
    <w:name w:val="List Paragraph"/>
    <w:basedOn w:val="Normal"/>
    <w:uiPriority w:val="99"/>
    <w:qFormat/>
    <w:rsid w:val="00CF49B5"/>
    <w:pPr>
      <w:ind w:left="720"/>
      <w:contextualSpacing/>
    </w:pPr>
  </w:style>
</w:styles>
</file>

<file path=word/webSettings.xml><?xml version="1.0" encoding="utf-8"?>
<w:webSettings xmlns:r="http://schemas.openxmlformats.org/officeDocument/2006/relationships" xmlns:w="http://schemas.openxmlformats.org/wordprocessingml/2006/main">
  <w:divs>
    <w:div w:id="1199703584">
      <w:marLeft w:val="0"/>
      <w:marRight w:val="0"/>
      <w:marTop w:val="0"/>
      <w:marBottom w:val="0"/>
      <w:divBdr>
        <w:top w:val="none" w:sz="0" w:space="0" w:color="auto"/>
        <w:left w:val="none" w:sz="0" w:space="0" w:color="auto"/>
        <w:bottom w:val="none" w:sz="0" w:space="0" w:color="auto"/>
        <w:right w:val="none" w:sz="0" w:space="0" w:color="auto"/>
      </w:divBdr>
      <w:divsChild>
        <w:div w:id="1199703589">
          <w:marLeft w:val="0"/>
          <w:marRight w:val="0"/>
          <w:marTop w:val="0"/>
          <w:marBottom w:val="0"/>
          <w:divBdr>
            <w:top w:val="none" w:sz="0" w:space="0" w:color="auto"/>
            <w:left w:val="none" w:sz="0" w:space="0" w:color="auto"/>
            <w:bottom w:val="none" w:sz="0" w:space="0" w:color="auto"/>
            <w:right w:val="none" w:sz="0" w:space="0" w:color="auto"/>
          </w:divBdr>
        </w:div>
      </w:divsChild>
    </w:div>
    <w:div w:id="1199703585">
      <w:marLeft w:val="0"/>
      <w:marRight w:val="0"/>
      <w:marTop w:val="0"/>
      <w:marBottom w:val="0"/>
      <w:divBdr>
        <w:top w:val="none" w:sz="0" w:space="0" w:color="auto"/>
        <w:left w:val="none" w:sz="0" w:space="0" w:color="auto"/>
        <w:bottom w:val="none" w:sz="0" w:space="0" w:color="auto"/>
        <w:right w:val="none" w:sz="0" w:space="0" w:color="auto"/>
      </w:divBdr>
    </w:div>
    <w:div w:id="1199703586">
      <w:marLeft w:val="0"/>
      <w:marRight w:val="0"/>
      <w:marTop w:val="0"/>
      <w:marBottom w:val="0"/>
      <w:divBdr>
        <w:top w:val="none" w:sz="0" w:space="0" w:color="auto"/>
        <w:left w:val="none" w:sz="0" w:space="0" w:color="auto"/>
        <w:bottom w:val="none" w:sz="0" w:space="0" w:color="auto"/>
        <w:right w:val="none" w:sz="0" w:space="0" w:color="auto"/>
      </w:divBdr>
      <w:divsChild>
        <w:div w:id="1199703588">
          <w:marLeft w:val="0"/>
          <w:marRight w:val="0"/>
          <w:marTop w:val="0"/>
          <w:marBottom w:val="0"/>
          <w:divBdr>
            <w:top w:val="none" w:sz="0" w:space="0" w:color="auto"/>
            <w:left w:val="none" w:sz="0" w:space="0" w:color="auto"/>
            <w:bottom w:val="none" w:sz="0" w:space="0" w:color="auto"/>
            <w:right w:val="none" w:sz="0" w:space="0" w:color="auto"/>
          </w:divBdr>
        </w:div>
      </w:divsChild>
    </w:div>
    <w:div w:id="1199703587">
      <w:marLeft w:val="0"/>
      <w:marRight w:val="0"/>
      <w:marTop w:val="0"/>
      <w:marBottom w:val="0"/>
      <w:divBdr>
        <w:top w:val="none" w:sz="0" w:space="0" w:color="auto"/>
        <w:left w:val="none" w:sz="0" w:space="0" w:color="auto"/>
        <w:bottom w:val="none" w:sz="0" w:space="0" w:color="auto"/>
        <w:right w:val="none" w:sz="0" w:space="0" w:color="auto"/>
      </w:divBdr>
    </w:div>
    <w:div w:id="1199703590">
      <w:marLeft w:val="0"/>
      <w:marRight w:val="0"/>
      <w:marTop w:val="0"/>
      <w:marBottom w:val="0"/>
      <w:divBdr>
        <w:top w:val="none" w:sz="0" w:space="0" w:color="auto"/>
        <w:left w:val="none" w:sz="0" w:space="0" w:color="auto"/>
        <w:bottom w:val="none" w:sz="0" w:space="0" w:color="auto"/>
        <w:right w:val="none" w:sz="0" w:space="0" w:color="auto"/>
      </w:divBdr>
    </w:div>
    <w:div w:id="1199703591">
      <w:marLeft w:val="0"/>
      <w:marRight w:val="0"/>
      <w:marTop w:val="0"/>
      <w:marBottom w:val="0"/>
      <w:divBdr>
        <w:top w:val="none" w:sz="0" w:space="0" w:color="auto"/>
        <w:left w:val="none" w:sz="0" w:space="0" w:color="auto"/>
        <w:bottom w:val="none" w:sz="0" w:space="0" w:color="auto"/>
        <w:right w:val="none" w:sz="0" w:space="0" w:color="auto"/>
      </w:divBdr>
    </w:div>
    <w:div w:id="1199703592">
      <w:marLeft w:val="0"/>
      <w:marRight w:val="0"/>
      <w:marTop w:val="0"/>
      <w:marBottom w:val="0"/>
      <w:divBdr>
        <w:top w:val="none" w:sz="0" w:space="0" w:color="auto"/>
        <w:left w:val="none" w:sz="0" w:space="0" w:color="auto"/>
        <w:bottom w:val="none" w:sz="0" w:space="0" w:color="auto"/>
        <w:right w:val="none" w:sz="0" w:space="0" w:color="auto"/>
      </w:divBdr>
    </w:div>
    <w:div w:id="1199703593">
      <w:marLeft w:val="0"/>
      <w:marRight w:val="0"/>
      <w:marTop w:val="0"/>
      <w:marBottom w:val="0"/>
      <w:divBdr>
        <w:top w:val="none" w:sz="0" w:space="0" w:color="auto"/>
        <w:left w:val="none" w:sz="0" w:space="0" w:color="auto"/>
        <w:bottom w:val="none" w:sz="0" w:space="0" w:color="auto"/>
        <w:right w:val="none" w:sz="0" w:space="0" w:color="auto"/>
      </w:divBdr>
    </w:div>
    <w:div w:id="1199703594">
      <w:marLeft w:val="0"/>
      <w:marRight w:val="0"/>
      <w:marTop w:val="0"/>
      <w:marBottom w:val="0"/>
      <w:divBdr>
        <w:top w:val="none" w:sz="0" w:space="0" w:color="auto"/>
        <w:left w:val="none" w:sz="0" w:space="0" w:color="auto"/>
        <w:bottom w:val="none" w:sz="0" w:space="0" w:color="auto"/>
        <w:right w:val="none" w:sz="0" w:space="0" w:color="auto"/>
      </w:divBdr>
    </w:div>
    <w:div w:id="1199703595">
      <w:marLeft w:val="0"/>
      <w:marRight w:val="0"/>
      <w:marTop w:val="0"/>
      <w:marBottom w:val="0"/>
      <w:divBdr>
        <w:top w:val="none" w:sz="0" w:space="0" w:color="auto"/>
        <w:left w:val="none" w:sz="0" w:space="0" w:color="auto"/>
        <w:bottom w:val="none" w:sz="0" w:space="0" w:color="auto"/>
        <w:right w:val="none" w:sz="0" w:space="0" w:color="auto"/>
      </w:divBdr>
    </w:div>
    <w:div w:id="119970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1614</TotalTime>
  <Pages>9</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Notes</vt:lpstr>
    </vt:vector>
  </TitlesOfParts>
  <Company>Ho Hup Construction Co. Bhd.</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subject/>
  <dc:creator>Gdhanesh</dc:creator>
  <cp:keywords/>
  <dc:description/>
  <cp:lastModifiedBy>Gdhanesh</cp:lastModifiedBy>
  <cp:revision>23</cp:revision>
  <cp:lastPrinted>2012-03-30T06:37:00Z</cp:lastPrinted>
  <dcterms:created xsi:type="dcterms:W3CDTF">2012-03-24T04:32:00Z</dcterms:created>
  <dcterms:modified xsi:type="dcterms:W3CDTF">2012-03-30T06:51:00Z</dcterms:modified>
</cp:coreProperties>
</file>